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4C" w:rsidRPr="00DA61CE" w:rsidRDefault="0015374C" w:rsidP="0015374C">
      <w:pPr>
        <w:jc w:val="center"/>
        <w:rPr>
          <w:rFonts w:ascii="Times New Roman" w:eastAsia="华文楷体" w:hAnsi="Times New Roman" w:cs="Times New Roman"/>
          <w:b/>
          <w:sz w:val="28"/>
          <w:szCs w:val="24"/>
        </w:rPr>
      </w:pPr>
      <w:r w:rsidRPr="00DA61CE">
        <w:rPr>
          <w:rFonts w:ascii="Times New Roman" w:eastAsia="华文楷体" w:hAnsi="华文楷体" w:cs="Times New Roman"/>
          <w:b/>
          <w:sz w:val="28"/>
          <w:szCs w:val="24"/>
        </w:rPr>
        <w:t>期权交易员必须知道的期权交易常识</w:t>
      </w:r>
    </w:p>
    <w:p w:rsidR="0015374C" w:rsidRPr="00DA61CE" w:rsidRDefault="0015374C" w:rsidP="0015374C">
      <w:pPr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t xml:space="preserve">    </w:t>
      </w:r>
      <w:r w:rsidRPr="00DA61CE">
        <w:rPr>
          <w:rFonts w:ascii="Times New Roman" w:eastAsia="华文楷体" w:hAnsi="华文楷体" w:cs="Times New Roman"/>
          <w:sz w:val="24"/>
          <w:szCs w:val="24"/>
        </w:rPr>
        <w:t>期权可能大家都不陌生，这里我带大家捋一捋一些基本的知识点，也带大家了解一些期权交易中的规律和现象。</w:t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t>1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、期权的价格由很多个的因素构成，因此它风险的来源也远远多于股票等标的资产。常用的风险来源包括：标的资产价格的方向（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Delta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），标的资产的波动率大小（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vega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），标的资产价格的凸性（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Gamma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），波动率的凸性（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volga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），时间价值的损耗（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Theta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），与其他资产的相关性（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correlation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），以及偏度（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skewness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）。不论什么市场什么期权，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Delta</w:t>
      </w:r>
      <w:r w:rsidRPr="00DA61CE">
        <w:rPr>
          <w:rFonts w:ascii="Times New Roman" w:eastAsia="华文楷体" w:hAnsi="华文楷体" w:cs="Times New Roman"/>
          <w:sz w:val="24"/>
          <w:szCs w:val="24"/>
        </w:rPr>
        <w:t>和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vega</w:t>
      </w:r>
      <w:r w:rsidRPr="00DA61CE">
        <w:rPr>
          <w:rFonts w:ascii="Times New Roman" w:eastAsia="华文楷体" w:hAnsi="华文楷体" w:cs="Times New Roman"/>
          <w:sz w:val="24"/>
          <w:szCs w:val="24"/>
        </w:rPr>
        <w:t>是所有维度中最重要的。其他因素会在其他</w:t>
      </w:r>
      <w:proofErr w:type="gramStart"/>
      <w:r w:rsidRPr="00DA61CE">
        <w:rPr>
          <w:rFonts w:ascii="Times New Roman" w:eastAsia="华文楷体" w:hAnsi="华文楷体" w:cs="Times New Roman"/>
          <w:sz w:val="24"/>
          <w:szCs w:val="24"/>
        </w:rPr>
        <w:t>考量</w:t>
      </w:r>
      <w:proofErr w:type="gramEnd"/>
      <w:r w:rsidRPr="00DA61CE">
        <w:rPr>
          <w:rFonts w:ascii="Times New Roman" w:eastAsia="华文楷体" w:hAnsi="华文楷体" w:cs="Times New Roman"/>
          <w:sz w:val="24"/>
          <w:szCs w:val="24"/>
        </w:rPr>
        <w:t>时利用。</w:t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t>2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、期权的价值并不和标的股票价格呈线性关系。而是凸函数，如下图所示：</w:t>
      </w:r>
    </w:p>
    <w:p w:rsidR="00000000" w:rsidRPr="00DA61CE" w:rsidRDefault="0015374C" w:rsidP="0015374C">
      <w:pPr>
        <w:jc w:val="center"/>
        <w:rPr>
          <w:rFonts w:ascii="Times New Roman" w:hAnsi="Times New Roman" w:cs="Times New Roman"/>
        </w:rPr>
      </w:pPr>
      <w:r w:rsidRPr="00DA61CE">
        <w:rPr>
          <w:rFonts w:ascii="Times New Roman" w:hAnsi="Times New Roman" w:cs="Times New Roman"/>
          <w:noProof/>
        </w:rPr>
        <w:drawing>
          <wp:inline distT="0" distB="0" distL="0" distR="0">
            <wp:extent cx="3808041" cy="2390775"/>
            <wp:effectExtent l="19050" t="0" r="195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9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华文楷体" w:cs="Times New Roman"/>
          <w:sz w:val="24"/>
          <w:szCs w:val="24"/>
        </w:rPr>
        <w:t>所以，比如，在股票价格增加时，持有一个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Call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比持有一个股票能带给你更高的收益；在股票下跌时，持有的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Call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收益率下跌的不会如持有股票如此之快。这叫做杠杆效应。然而，这只是在股票价格这个维度的观点。比如，如果加上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Theta</w:t>
      </w:r>
      <w:r w:rsidRPr="00DA61CE">
        <w:rPr>
          <w:rFonts w:ascii="Times New Roman" w:eastAsia="华文楷体" w:hAnsi="华文楷体" w:cs="Times New Roman"/>
          <w:sz w:val="24"/>
          <w:szCs w:val="24"/>
        </w:rPr>
        <w:t>这个维度，你会发现如果你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Call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的价格会随着持有靠近到期日而逐步降低。</w:t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t>3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、大部分情况下，期权的隐含波动率，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implied volatility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，都是会略高于未</w:t>
      </w:r>
      <w:r w:rsidRPr="00DA61CE">
        <w:rPr>
          <w:rFonts w:ascii="Times New Roman" w:eastAsia="华文楷体" w:hAnsi="华文楷体" w:cs="Times New Roman"/>
          <w:sz w:val="24"/>
          <w:szCs w:val="24"/>
        </w:rPr>
        <w:lastRenderedPageBreak/>
        <w:t>来股票真正实现的波动率。这个现象叫做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volatility overpriced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。这个现象是由期权的供需关系所导致的，在市场上，使用期权的一部分人是对冲者，也就是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hedger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。他们买入期权是为了保护，因此会长期持有，这个因素是导致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volatility overpriced</w:t>
      </w:r>
      <w:r w:rsidRPr="00DA61CE">
        <w:rPr>
          <w:rFonts w:ascii="Times New Roman" w:eastAsia="华文楷体" w:hAnsi="华文楷体" w:cs="Times New Roman"/>
          <w:sz w:val="24"/>
          <w:szCs w:val="24"/>
        </w:rPr>
        <w:t>的一个重要原因。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overpriced vol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和未来真正实现的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vol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的差异被称作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volatility premium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。因此，如果抛开其他因素不谈，卖出期权其实是在收割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volatility premium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。</w:t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t>4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、相对于单一股票的标的，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volatility overpriced</w:t>
      </w:r>
      <w:r w:rsidRPr="00DA61CE">
        <w:rPr>
          <w:rFonts w:ascii="Times New Roman" w:eastAsia="华文楷体" w:hAnsi="华文楷体" w:cs="Times New Roman"/>
          <w:sz w:val="24"/>
          <w:szCs w:val="24"/>
        </w:rPr>
        <w:t>现象在指数类标的资产上更加常见，因为在市场上，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hedger</w:t>
      </w:r>
      <w:r w:rsidRPr="00DA61CE">
        <w:rPr>
          <w:rFonts w:ascii="Times New Roman" w:eastAsia="华文楷体" w:hAnsi="华文楷体" w:cs="Times New Roman"/>
          <w:sz w:val="24"/>
          <w:szCs w:val="24"/>
        </w:rPr>
        <w:t>绝大部分都是</w:t>
      </w:r>
      <w:proofErr w:type="gramStart"/>
      <w:r w:rsidRPr="00DA61CE">
        <w:rPr>
          <w:rFonts w:ascii="Times New Roman" w:eastAsia="华文楷体" w:hAnsi="华文楷体" w:cs="Times New Roman"/>
          <w:sz w:val="24"/>
          <w:szCs w:val="24"/>
        </w:rPr>
        <w:t>拿指数</w:t>
      </w:r>
      <w:proofErr w:type="gramEnd"/>
      <w:r w:rsidRPr="00DA61CE">
        <w:rPr>
          <w:rFonts w:ascii="Times New Roman" w:eastAsia="华文楷体" w:hAnsi="华文楷体" w:cs="Times New Roman"/>
          <w:sz w:val="24"/>
          <w:szCs w:val="24"/>
        </w:rPr>
        <w:t>类期权做宏观对冲。</w:t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t>5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、一般来讲，单一股票的期权模式大多是美式，指数类期权的模式大多是欧式。低于场内期权产品，指数类期权的买卖价差（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bid-ask spread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）会比单一股票要窄，因此买卖指数类期权的交易成本会相对低一些。</w:t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t>6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、相同因子的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Call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和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Put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，他们的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Vega</w:t>
      </w:r>
      <w:r w:rsidRPr="00DA61CE">
        <w:rPr>
          <w:rFonts w:ascii="Times New Roman" w:eastAsia="华文楷体" w:hAnsi="华文楷体" w:cs="Times New Roman"/>
          <w:sz w:val="24"/>
          <w:szCs w:val="24"/>
        </w:rPr>
        <w:t>都是一样的，也就是对波动率的敏感程度也是一样的，而且都是正的。所以，如果不看其他因素影响，买入期权（不论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Call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Put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）就是在做多波动率，卖出期权就是在做空波动率。</w:t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t>7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、买入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Call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和卖出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Put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，在标的股票价格的方面看，都是相当于买入标的股票，因为你在股票价格增长时获利；卖出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Call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和买入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Put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，在标的股票价格的方面看，都是相当于卖空标的股票，因为你在股票价格下跌时获利。</w:t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t>8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、综合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6</w:t>
      </w:r>
      <w:r w:rsidRPr="00DA61CE">
        <w:rPr>
          <w:rFonts w:ascii="Times New Roman" w:eastAsia="华文楷体" w:hAnsi="华文楷体" w:cs="Times New Roman"/>
          <w:sz w:val="24"/>
          <w:szCs w:val="24"/>
        </w:rPr>
        <w:t>跟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 xml:space="preserve">7: </w:t>
      </w:r>
      <w:r w:rsidRPr="00DA61CE">
        <w:rPr>
          <w:rFonts w:ascii="Times New Roman" w:eastAsia="华文楷体" w:hAnsi="华文楷体" w:cs="Times New Roman"/>
          <w:sz w:val="24"/>
          <w:szCs w:val="24"/>
        </w:rPr>
        <w:t>对未来看涨且波动率高时，应卖出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Put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；对未来看涨且波动率低时，应买入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Call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；对未来看跌且波动率高时，应卖出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Call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；对未来看跌且波动率低时，应买入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Put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。</w:t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t>9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、多头（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long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）可以通过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Put</w:t>
      </w:r>
      <w:r w:rsidRPr="00DA61CE">
        <w:rPr>
          <w:rFonts w:ascii="Times New Roman" w:eastAsia="华文楷体" w:hAnsi="华文楷体" w:cs="Times New Roman"/>
          <w:sz w:val="24"/>
          <w:szCs w:val="24"/>
        </w:rPr>
        <w:t>来对冲，进而得到保护。但对</w:t>
      </w:r>
      <w:proofErr w:type="gramStart"/>
      <w:r w:rsidRPr="00DA61CE">
        <w:rPr>
          <w:rFonts w:ascii="Times New Roman" w:eastAsia="华文楷体" w:hAnsi="华文楷体" w:cs="Times New Roman"/>
          <w:sz w:val="24"/>
          <w:szCs w:val="24"/>
        </w:rPr>
        <w:t>冲成本</w:t>
      </w:r>
      <w:proofErr w:type="gramEnd"/>
      <w:r w:rsidRPr="00DA61CE">
        <w:rPr>
          <w:rFonts w:ascii="Times New Roman" w:eastAsia="华文楷体" w:hAnsi="华文楷体" w:cs="Times New Roman"/>
          <w:sz w:val="24"/>
          <w:szCs w:val="24"/>
        </w:rPr>
        <w:t>会较高。这时可以通过卖出更加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OTM</w:t>
      </w:r>
      <w:r w:rsidRPr="00DA61CE">
        <w:rPr>
          <w:rFonts w:ascii="Times New Roman" w:eastAsia="华文楷体" w:hAnsi="华文楷体" w:cs="Times New Roman"/>
          <w:sz w:val="24"/>
          <w:szCs w:val="24"/>
        </w:rPr>
        <w:t>的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Put</w:t>
      </w:r>
      <w:r w:rsidRPr="00DA61CE">
        <w:rPr>
          <w:rFonts w:ascii="Times New Roman" w:eastAsia="华文楷体" w:hAnsi="华文楷体" w:cs="Times New Roman"/>
          <w:sz w:val="24"/>
          <w:szCs w:val="24"/>
        </w:rPr>
        <w:t>，或者卖出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Call</w:t>
      </w:r>
      <w:r w:rsidRPr="00DA61CE">
        <w:rPr>
          <w:rFonts w:ascii="Times New Roman" w:eastAsia="华文楷体" w:hAnsi="华文楷体" w:cs="Times New Roman"/>
          <w:sz w:val="24"/>
          <w:szCs w:val="24"/>
        </w:rPr>
        <w:t>等策略来减少成本。</w:t>
      </w:r>
    </w:p>
    <w:p w:rsidR="0015374C" w:rsidRPr="00DA61CE" w:rsidRDefault="0015374C" w:rsidP="0015374C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DA61CE">
        <w:rPr>
          <w:rFonts w:ascii="Times New Roman" w:eastAsia="华文楷体" w:hAnsi="Times New Roman" w:cs="Times New Roman"/>
          <w:sz w:val="24"/>
          <w:szCs w:val="24"/>
        </w:rPr>
        <w:lastRenderedPageBreak/>
        <w:t>10</w:t>
      </w:r>
      <w:r w:rsidRPr="00DA61CE">
        <w:rPr>
          <w:rFonts w:ascii="Times New Roman" w:eastAsia="华文楷体" w:hAnsi="华文楷体" w:cs="Times New Roman"/>
          <w:sz w:val="24"/>
          <w:szCs w:val="24"/>
        </w:rPr>
        <w:t>、从流动性的角度看：奇异期权交易量与交易流动性远远低于香草期权；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OTM</w:t>
      </w:r>
      <w:r w:rsidRPr="00DA61CE">
        <w:rPr>
          <w:rFonts w:ascii="Times New Roman" w:eastAsia="华文楷体" w:hAnsi="华文楷体" w:cs="Times New Roman"/>
          <w:sz w:val="24"/>
          <w:szCs w:val="24"/>
        </w:rPr>
        <w:t>流动性比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ITM</w:t>
      </w:r>
      <w:r w:rsidRPr="00DA61CE">
        <w:rPr>
          <w:rFonts w:ascii="Times New Roman" w:eastAsia="华文楷体" w:hAnsi="华文楷体" w:cs="Times New Roman"/>
          <w:sz w:val="24"/>
          <w:szCs w:val="24"/>
        </w:rPr>
        <w:t>期权要高；期限超过一年的期权流动性很差。从收益率的角度来说：如果市场的走向正常，没有巨大的动向，略微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ITM</w:t>
      </w:r>
      <w:r w:rsidRPr="00DA61CE">
        <w:rPr>
          <w:rFonts w:ascii="Times New Roman" w:eastAsia="华文楷体" w:hAnsi="华文楷体" w:cs="Times New Roman"/>
          <w:sz w:val="24"/>
          <w:szCs w:val="24"/>
        </w:rPr>
        <w:t>的期权在平均上比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OTM</w:t>
      </w:r>
      <w:r w:rsidRPr="00DA61CE">
        <w:rPr>
          <w:rFonts w:ascii="Times New Roman" w:eastAsia="华文楷体" w:hAnsi="华文楷体" w:cs="Times New Roman"/>
          <w:sz w:val="24"/>
          <w:szCs w:val="24"/>
        </w:rPr>
        <w:t>收益率会高；如果市场有巨大波动，平均来说，略微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OTM</w:t>
      </w:r>
      <w:r w:rsidRPr="00DA61CE">
        <w:rPr>
          <w:rFonts w:ascii="Times New Roman" w:eastAsia="华文楷体" w:hAnsi="华文楷体" w:cs="Times New Roman"/>
          <w:sz w:val="24"/>
          <w:szCs w:val="24"/>
        </w:rPr>
        <w:t>的期权比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ITM</w:t>
      </w:r>
      <w:r w:rsidRPr="00DA61CE">
        <w:rPr>
          <w:rFonts w:ascii="Times New Roman" w:eastAsia="华文楷体" w:hAnsi="华文楷体" w:cs="Times New Roman"/>
          <w:sz w:val="24"/>
          <w:szCs w:val="24"/>
        </w:rPr>
        <w:t>收益率要高，因为</w:t>
      </w:r>
      <w:r w:rsidRPr="00DA61CE">
        <w:rPr>
          <w:rFonts w:ascii="Times New Roman" w:eastAsia="华文楷体" w:hAnsi="Times New Roman" w:cs="Times New Roman"/>
          <w:sz w:val="24"/>
          <w:szCs w:val="24"/>
        </w:rPr>
        <w:t>OTM</w:t>
      </w:r>
      <w:r w:rsidRPr="00DA61CE">
        <w:rPr>
          <w:rFonts w:ascii="Times New Roman" w:eastAsia="华文楷体" w:hAnsi="华文楷体" w:cs="Times New Roman"/>
          <w:sz w:val="24"/>
          <w:szCs w:val="24"/>
        </w:rPr>
        <w:t>价格便宜。但这只是非常笼统的说法。</w:t>
      </w:r>
    </w:p>
    <w:p w:rsidR="0015374C" w:rsidRDefault="0015374C" w:rsidP="0015374C">
      <w:pPr>
        <w:ind w:firstLineChars="200" w:firstLine="480"/>
        <w:rPr>
          <w:rFonts w:ascii="Times New Roman" w:eastAsia="华文楷体" w:hAnsi="华文楷体" w:cs="Times New Roman" w:hint="eastAsia"/>
          <w:sz w:val="24"/>
          <w:szCs w:val="24"/>
        </w:rPr>
      </w:pPr>
      <w:r w:rsidRPr="00DA61CE">
        <w:rPr>
          <w:rFonts w:ascii="Times New Roman" w:eastAsia="华文楷体" w:hAnsi="华文楷体" w:cs="Times New Roman"/>
          <w:sz w:val="24"/>
          <w:szCs w:val="24"/>
        </w:rPr>
        <w:t>期权交易与普通股票、外汇等交易的差异在于，期权拥有非常多个影响因子，而且这些影响因素都和期权的价格、收益率不是线性关系。因此对于期权交易而言，懂得合理的分析和操作就更为重要。</w:t>
      </w:r>
    </w:p>
    <w:p w:rsidR="007779E0" w:rsidRPr="007779E0" w:rsidRDefault="007779E0" w:rsidP="0015374C">
      <w:pPr>
        <w:ind w:firstLineChars="200" w:firstLine="480"/>
        <w:rPr>
          <w:rFonts w:ascii="Times New Roman" w:eastAsia="华文楷体" w:hAnsi="Times New Roman" w:cs="Times New Roman"/>
          <w:b/>
          <w:sz w:val="24"/>
          <w:szCs w:val="24"/>
        </w:rPr>
      </w:pPr>
      <w:r w:rsidRPr="007779E0">
        <w:rPr>
          <w:rFonts w:ascii="Times New Roman" w:eastAsia="华文楷体" w:hAnsi="华文楷体" w:cs="Times New Roman" w:hint="eastAsia"/>
          <w:b/>
          <w:sz w:val="24"/>
          <w:szCs w:val="24"/>
        </w:rPr>
        <w:t>（资料来源：和讯期权</w:t>
      </w:r>
      <w:r w:rsidR="00E9447B">
        <w:rPr>
          <w:rFonts w:ascii="Times New Roman" w:eastAsia="华文楷体" w:hAnsi="华文楷体" w:cs="Times New Roman" w:hint="eastAsia"/>
          <w:b/>
          <w:sz w:val="24"/>
          <w:szCs w:val="24"/>
        </w:rPr>
        <w:t>屋</w:t>
      </w:r>
      <w:r w:rsidRPr="007779E0">
        <w:rPr>
          <w:rFonts w:ascii="Times New Roman" w:eastAsia="华文楷体" w:hAnsi="华文楷体" w:cs="Times New Roman" w:hint="eastAsia"/>
          <w:b/>
          <w:sz w:val="24"/>
          <w:szCs w:val="24"/>
        </w:rPr>
        <w:t>）</w:t>
      </w:r>
    </w:p>
    <w:p w:rsidR="0015374C" w:rsidRPr="00DA61CE" w:rsidRDefault="0015374C" w:rsidP="0015374C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15374C" w:rsidRPr="00DA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74C"/>
    <w:rsid w:val="0015374C"/>
    <w:rsid w:val="007779E0"/>
    <w:rsid w:val="00DA61CE"/>
    <w:rsid w:val="00E9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537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5374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53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374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5374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537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235</Words>
  <Characters>1343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5</cp:revision>
  <dcterms:created xsi:type="dcterms:W3CDTF">2017-02-07T08:34:00Z</dcterms:created>
  <dcterms:modified xsi:type="dcterms:W3CDTF">2017-02-07T08:38:00Z</dcterms:modified>
</cp:coreProperties>
</file>