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A6" w:rsidRPr="00352CA6" w:rsidRDefault="00352CA6" w:rsidP="00352CA6">
      <w:pPr>
        <w:spacing w:line="520" w:lineRule="exact"/>
        <w:ind w:firstLineChars="200" w:firstLine="562"/>
        <w:jc w:val="center"/>
        <w:rPr>
          <w:rFonts w:asciiTheme="majorEastAsia" w:eastAsiaTheme="majorEastAsia" w:hAnsiTheme="majorEastAsia" w:hint="eastAsia"/>
          <w:b/>
          <w:sz w:val="28"/>
          <w:szCs w:val="28"/>
        </w:rPr>
      </w:pPr>
      <w:r w:rsidRPr="00352CA6">
        <w:rPr>
          <w:rFonts w:asciiTheme="majorEastAsia" w:eastAsiaTheme="majorEastAsia" w:hAnsiTheme="majorEastAsia" w:hint="eastAsia"/>
          <w:b/>
          <w:sz w:val="28"/>
          <w:szCs w:val="28"/>
        </w:rPr>
        <w:t>期权在基金产品中的应用</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期权的推出给基金产品创新带来诸多机会，创新ETF、指数基金、主动基金、保本基金产品、结构性基金产品等均可使用期权实现不同的投资目的。</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（1）基金运用期权的目的主要包括：对冲风险、增加收益、主动投资、管理现金流、资产配置等。</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（2）创新ETF：海外市场目前有比较多的期权策略指数ETF，其中以Coveredcall策略指数ETF居多，但单只基金规模总体有限，主要以创新产品角色出现；</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（3）指数基金： Covered call策略指数产品较常见，Protective Put和PutWrite策略指数产品有出现，但数量较少；</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（4）主动基金：一方面可通过卖出期权（主要是看涨期权）获取额外收益，另一方面可利用期权进行现货资产风险对冲或主动投资等；</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（5）结构性产品：机构投资者可利用固定收益产品和期权等工具设计不同类型的保本产品、部分保本产品、高收益产品等，海外结构性产品具体形式丰富多样。</w:t>
      </w:r>
    </w:p>
    <w:p w:rsidR="00352CA6" w:rsidRPr="00352CA6" w:rsidRDefault="00352CA6" w:rsidP="00352CA6">
      <w:pPr>
        <w:spacing w:line="520" w:lineRule="exact"/>
        <w:ind w:firstLineChars="200" w:firstLine="480"/>
        <w:rPr>
          <w:rFonts w:ascii="华文楷体" w:eastAsia="华文楷体" w:hAnsi="华文楷体" w:hint="eastAsia"/>
          <w:sz w:val="24"/>
          <w:szCs w:val="24"/>
        </w:rPr>
      </w:pPr>
      <w:r w:rsidRPr="00352CA6">
        <w:rPr>
          <w:rFonts w:ascii="华文楷体" w:eastAsia="华文楷体" w:hAnsi="华文楷体" w:hint="eastAsia"/>
          <w:sz w:val="24"/>
          <w:szCs w:val="24"/>
        </w:rPr>
        <w:t>（6）期权合约选择：海外共同基金一般选择剩余期限1-3个月、平价或轻度价外的合约，其中个股期权、股指期权、ETF期权等均有不同基金产品使用。</w:t>
      </w:r>
    </w:p>
    <w:p w:rsidR="00000000" w:rsidRDefault="00352CA6" w:rsidP="00352CA6">
      <w:pPr>
        <w:jc w:val="center"/>
        <w:rPr>
          <w:rFonts w:hint="eastAsia"/>
        </w:rPr>
      </w:pPr>
      <w:r>
        <w:rPr>
          <w:noProof/>
        </w:rPr>
        <w:drawing>
          <wp:inline distT="0" distB="0" distL="0" distR="0">
            <wp:extent cx="4514717" cy="2409246"/>
            <wp:effectExtent l="19050" t="0" r="133"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517884" cy="2410936"/>
                    </a:xfrm>
                    <a:prstGeom prst="rect">
                      <a:avLst/>
                    </a:prstGeom>
                    <a:noFill/>
                    <a:ln w="9525">
                      <a:noFill/>
                      <a:miter lim="800000"/>
                      <a:headEnd/>
                      <a:tailEnd/>
                    </a:ln>
                  </pic:spPr>
                </pic:pic>
              </a:graphicData>
            </a:graphic>
          </wp:inline>
        </w:drawing>
      </w:r>
    </w:p>
    <w:p w:rsidR="00352CA6" w:rsidRPr="00352CA6" w:rsidRDefault="00352CA6" w:rsidP="00352CA6">
      <w:pPr>
        <w:jc w:val="center"/>
      </w:pPr>
      <w:r>
        <w:rPr>
          <w:noProof/>
        </w:rPr>
        <w:lastRenderedPageBreak/>
        <w:drawing>
          <wp:inline distT="0" distB="0" distL="0" distR="0">
            <wp:extent cx="4837279" cy="3697357"/>
            <wp:effectExtent l="19050" t="0" r="1421"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840183" cy="3699577"/>
                    </a:xfrm>
                    <a:prstGeom prst="rect">
                      <a:avLst/>
                    </a:prstGeom>
                    <a:noFill/>
                    <a:ln w="9525">
                      <a:noFill/>
                      <a:miter lim="800000"/>
                      <a:headEnd/>
                      <a:tailEnd/>
                    </a:ln>
                  </pic:spPr>
                </pic:pic>
              </a:graphicData>
            </a:graphic>
          </wp:inline>
        </w:drawing>
      </w:r>
    </w:p>
    <w:sectPr w:rsidR="00352CA6" w:rsidRPr="00352C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CA6"/>
    <w:rsid w:val="00352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CA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52CA6"/>
    <w:rPr>
      <w:sz w:val="18"/>
      <w:szCs w:val="18"/>
    </w:rPr>
  </w:style>
  <w:style w:type="character" w:customStyle="1" w:styleId="Char">
    <w:name w:val="批注框文本 Char"/>
    <w:basedOn w:val="a0"/>
    <w:link w:val="a4"/>
    <w:uiPriority w:val="99"/>
    <w:semiHidden/>
    <w:rsid w:val="00352CA6"/>
    <w:rPr>
      <w:sz w:val="18"/>
      <w:szCs w:val="18"/>
    </w:rPr>
  </w:style>
</w:styles>
</file>

<file path=word/webSettings.xml><?xml version="1.0" encoding="utf-8"?>
<w:webSettings xmlns:r="http://schemas.openxmlformats.org/officeDocument/2006/relationships" xmlns:w="http://schemas.openxmlformats.org/wordprocessingml/2006/main">
  <w:divs>
    <w:div w:id="5417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411</Characters>
  <Application>Microsoft Office Word</Application>
  <DocSecurity>0</DocSecurity>
  <Lines>3</Lines>
  <Paragraphs>1</Paragraphs>
  <ScaleCrop>false</ScaleCrop>
  <Company>Hewlett-Packard Company</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2016-10-12T00:47:00Z</dcterms:created>
  <dcterms:modified xsi:type="dcterms:W3CDTF">2016-10-12T00:48:00Z</dcterms:modified>
</cp:coreProperties>
</file>