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9C" w:rsidRPr="00637B3F" w:rsidRDefault="00B72230" w:rsidP="0017666F">
      <w:pPr>
        <w:jc w:val="center"/>
        <w:rPr>
          <w:rFonts w:ascii="仿宋" w:eastAsia="仿宋" w:hAnsi="仿宋"/>
          <w:b/>
          <w:sz w:val="24"/>
          <w:szCs w:val="24"/>
        </w:rPr>
      </w:pPr>
      <w:r w:rsidRPr="00637B3F">
        <w:rPr>
          <w:rFonts w:ascii="仿宋" w:eastAsia="仿宋" w:hAnsi="仿宋" w:hint="eastAsia"/>
          <w:b/>
          <w:sz w:val="24"/>
          <w:szCs w:val="24"/>
        </w:rPr>
        <w:t>警惕买入期权的“虚假保护”</w:t>
      </w:r>
    </w:p>
    <w:p w:rsidR="00B72230" w:rsidRPr="00637B3F" w:rsidRDefault="00B72230" w:rsidP="00637B3F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37B3F">
        <w:rPr>
          <w:rFonts w:ascii="仿宋" w:eastAsia="仿宋" w:hAnsi="仿宋" w:hint="eastAsia"/>
          <w:sz w:val="24"/>
          <w:szCs w:val="24"/>
        </w:rPr>
        <w:t>利用买入期权对冲标的价格风险，是投资者最为常用的交易策略。然而，对于某一类型的期权来说，要警惕“虚假保护”。这指的是临近到期的深度</w:t>
      </w:r>
      <w:proofErr w:type="gramStart"/>
      <w:r w:rsidRPr="00637B3F">
        <w:rPr>
          <w:rFonts w:ascii="仿宋" w:eastAsia="仿宋" w:hAnsi="仿宋" w:hint="eastAsia"/>
          <w:sz w:val="24"/>
          <w:szCs w:val="24"/>
        </w:rPr>
        <w:t>虚值期权</w:t>
      </w:r>
      <w:proofErr w:type="gramEnd"/>
      <w:r w:rsidRPr="00637B3F">
        <w:rPr>
          <w:rFonts w:ascii="仿宋" w:eastAsia="仿宋" w:hAnsi="仿宋" w:hint="eastAsia"/>
          <w:sz w:val="24"/>
          <w:szCs w:val="24"/>
        </w:rPr>
        <w:t>。</w:t>
      </w:r>
    </w:p>
    <w:p w:rsidR="00B72230" w:rsidRPr="00637B3F" w:rsidRDefault="00B72230" w:rsidP="00637B3F">
      <w:pPr>
        <w:spacing w:line="480" w:lineRule="exact"/>
        <w:rPr>
          <w:rFonts w:ascii="仿宋" w:eastAsia="仿宋" w:hAnsi="仿宋"/>
          <w:sz w:val="24"/>
          <w:szCs w:val="24"/>
        </w:rPr>
      </w:pPr>
      <w:r w:rsidRPr="00637B3F">
        <w:rPr>
          <w:rFonts w:ascii="仿宋" w:eastAsia="仿宋" w:hAnsi="仿宋" w:hint="eastAsia"/>
          <w:sz w:val="24"/>
          <w:szCs w:val="24"/>
        </w:rPr>
        <w:t xml:space="preserve">　　临近到期的深度</w:t>
      </w:r>
      <w:proofErr w:type="gramStart"/>
      <w:r w:rsidRPr="00637B3F">
        <w:rPr>
          <w:rFonts w:ascii="仿宋" w:eastAsia="仿宋" w:hAnsi="仿宋" w:hint="eastAsia"/>
          <w:sz w:val="24"/>
          <w:szCs w:val="24"/>
        </w:rPr>
        <w:t>虚值期权</w:t>
      </w:r>
      <w:proofErr w:type="gramEnd"/>
      <w:r w:rsidRPr="00637B3F">
        <w:rPr>
          <w:rFonts w:ascii="仿宋" w:eastAsia="仿宋" w:hAnsi="仿宋" w:hint="eastAsia"/>
          <w:sz w:val="24"/>
          <w:szCs w:val="24"/>
        </w:rPr>
        <w:t>有如下两个特征，一方面，权利金极低，</w:t>
      </w:r>
      <w:proofErr w:type="gramStart"/>
      <w:r w:rsidRPr="00637B3F">
        <w:rPr>
          <w:rFonts w:ascii="仿宋" w:eastAsia="仿宋" w:hAnsi="仿宋" w:hint="eastAsia"/>
          <w:sz w:val="24"/>
          <w:szCs w:val="24"/>
        </w:rPr>
        <w:t>以上证</w:t>
      </w:r>
      <w:proofErr w:type="gramEnd"/>
      <w:r w:rsidRPr="00637B3F">
        <w:rPr>
          <w:rFonts w:ascii="仿宋" w:eastAsia="仿宋" w:hAnsi="仿宋" w:hint="eastAsia"/>
          <w:sz w:val="24"/>
          <w:szCs w:val="24"/>
        </w:rPr>
        <w:t>50ETF认沽期权为例，当上证50ETF为2元/份时，不同到期日、不同执行价格下的认沽期权价格如下表所示：</w:t>
      </w:r>
    </w:p>
    <w:p w:rsidR="00B72230" w:rsidRPr="00637B3F" w:rsidRDefault="00B72230" w:rsidP="00B72230">
      <w:pPr>
        <w:jc w:val="center"/>
        <w:rPr>
          <w:rFonts w:ascii="仿宋" w:eastAsia="仿宋" w:hAnsi="仿宋"/>
          <w:sz w:val="24"/>
          <w:szCs w:val="24"/>
        </w:rPr>
      </w:pPr>
      <w:r w:rsidRPr="00637B3F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4691380" cy="17729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30" w:rsidRPr="00637B3F" w:rsidRDefault="00B72230" w:rsidP="00637B3F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37B3F">
        <w:rPr>
          <w:rFonts w:ascii="仿宋" w:eastAsia="仿宋" w:hAnsi="仿宋" w:hint="eastAsia"/>
          <w:sz w:val="24"/>
          <w:szCs w:val="24"/>
        </w:rPr>
        <w:t>由此可知，距离到期日越近，</w:t>
      </w:r>
      <w:proofErr w:type="gramStart"/>
      <w:r w:rsidRPr="00637B3F">
        <w:rPr>
          <w:rFonts w:ascii="仿宋" w:eastAsia="仿宋" w:hAnsi="仿宋" w:hint="eastAsia"/>
          <w:sz w:val="24"/>
          <w:szCs w:val="24"/>
        </w:rPr>
        <w:t>虚值程度</w:t>
      </w:r>
      <w:proofErr w:type="gramEnd"/>
      <w:r w:rsidRPr="00637B3F">
        <w:rPr>
          <w:rFonts w:ascii="仿宋" w:eastAsia="仿宋" w:hAnsi="仿宋" w:hint="eastAsia"/>
          <w:sz w:val="24"/>
          <w:szCs w:val="24"/>
        </w:rPr>
        <w:t>越深的期权价格越低，这对买入者来说当然是优势。</w:t>
      </w:r>
    </w:p>
    <w:p w:rsidR="00B72230" w:rsidRPr="00637B3F" w:rsidRDefault="00B72230" w:rsidP="00637B3F">
      <w:pPr>
        <w:spacing w:line="480" w:lineRule="exact"/>
        <w:rPr>
          <w:rFonts w:ascii="仿宋" w:eastAsia="仿宋" w:hAnsi="仿宋"/>
          <w:sz w:val="24"/>
          <w:szCs w:val="24"/>
        </w:rPr>
      </w:pPr>
      <w:r w:rsidRPr="00637B3F">
        <w:rPr>
          <w:rFonts w:ascii="仿宋" w:eastAsia="仿宋" w:hAnsi="仿宋" w:hint="eastAsia"/>
          <w:sz w:val="24"/>
          <w:szCs w:val="24"/>
        </w:rPr>
        <w:t xml:space="preserve">　　然而，另一方面，短期深度</w:t>
      </w:r>
      <w:proofErr w:type="gramStart"/>
      <w:r w:rsidRPr="00637B3F">
        <w:rPr>
          <w:rFonts w:ascii="仿宋" w:eastAsia="仿宋" w:hAnsi="仿宋" w:hint="eastAsia"/>
          <w:sz w:val="24"/>
          <w:szCs w:val="24"/>
        </w:rPr>
        <w:t>虚值期权</w:t>
      </w:r>
      <w:proofErr w:type="gramEnd"/>
      <w:r w:rsidRPr="00637B3F">
        <w:rPr>
          <w:rFonts w:ascii="仿宋" w:eastAsia="仿宋" w:hAnsi="仿宋" w:hint="eastAsia"/>
          <w:sz w:val="24"/>
          <w:szCs w:val="24"/>
        </w:rPr>
        <w:t>的delta很低，对价格敏感性不高，这导致相同的标的价格波动幅度，对期权价格的影响，即对期权收益的影响是有显著差异的。</w:t>
      </w:r>
    </w:p>
    <w:p w:rsidR="00B72230" w:rsidRPr="00637B3F" w:rsidRDefault="00B72230" w:rsidP="0017666F">
      <w:pPr>
        <w:jc w:val="center"/>
        <w:rPr>
          <w:rFonts w:ascii="仿宋" w:eastAsia="仿宋" w:hAnsi="仿宋"/>
          <w:sz w:val="24"/>
          <w:szCs w:val="24"/>
        </w:rPr>
      </w:pPr>
      <w:r w:rsidRPr="00637B3F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4330313" cy="2296372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93" cy="229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30" w:rsidRPr="00637B3F" w:rsidRDefault="00B72230" w:rsidP="00637B3F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37B3F">
        <w:rPr>
          <w:rFonts w:ascii="仿宋" w:eastAsia="仿宋" w:hAnsi="仿宋" w:hint="eastAsia"/>
          <w:sz w:val="24"/>
          <w:szCs w:val="24"/>
        </w:rPr>
        <w:t>随着上证50ETF价格的变动，每一手长期期权的收益均要高于短期期权，且在期权转换为实值期权之前，期权收益甚微。这表明临近到期的短期期权对标的资产的保护力度很小。特别值得注意的是，由于是深度</w:t>
      </w:r>
      <w:proofErr w:type="gramStart"/>
      <w:r w:rsidRPr="00637B3F">
        <w:rPr>
          <w:rFonts w:ascii="仿宋" w:eastAsia="仿宋" w:hAnsi="仿宋" w:hint="eastAsia"/>
          <w:sz w:val="24"/>
          <w:szCs w:val="24"/>
        </w:rPr>
        <w:t>虚值期权</w:t>
      </w:r>
      <w:proofErr w:type="gramEnd"/>
      <w:r w:rsidRPr="00637B3F">
        <w:rPr>
          <w:rFonts w:ascii="仿宋" w:eastAsia="仿宋" w:hAnsi="仿宋" w:hint="eastAsia"/>
          <w:sz w:val="24"/>
          <w:szCs w:val="24"/>
        </w:rPr>
        <w:t>，如果在到期日，</w:t>
      </w:r>
      <w:r w:rsidRPr="00637B3F">
        <w:rPr>
          <w:rFonts w:ascii="仿宋" w:eastAsia="仿宋" w:hAnsi="仿宋" w:hint="eastAsia"/>
          <w:sz w:val="24"/>
          <w:szCs w:val="24"/>
        </w:rPr>
        <w:lastRenderedPageBreak/>
        <w:t>期权没有转换为实值期权，那么最终期权将会损掉全部权利金，对标的资产没有任何保护，前期的保护成为“虚假保护”。</w:t>
      </w:r>
    </w:p>
    <w:p w:rsidR="00B72230" w:rsidRPr="00637B3F" w:rsidRDefault="00B72230" w:rsidP="00637B3F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37B3F">
        <w:rPr>
          <w:rFonts w:ascii="仿宋" w:eastAsia="仿宋" w:hAnsi="仿宋"/>
          <w:sz w:val="24"/>
          <w:szCs w:val="24"/>
        </w:rPr>
        <w:t xml:space="preserve">这给我们两个启示：　　</w:t>
      </w:r>
    </w:p>
    <w:p w:rsidR="00B72230" w:rsidRPr="00637B3F" w:rsidRDefault="00B72230" w:rsidP="00637B3F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37B3F">
        <w:rPr>
          <w:rFonts w:ascii="仿宋" w:eastAsia="仿宋" w:hAnsi="仿宋" w:hint="eastAsia"/>
          <w:sz w:val="24"/>
          <w:szCs w:val="24"/>
        </w:rPr>
        <w:t>（一）</w:t>
      </w:r>
      <w:r w:rsidRPr="00637B3F">
        <w:rPr>
          <w:rFonts w:ascii="仿宋" w:eastAsia="仿宋" w:hAnsi="仿宋"/>
          <w:sz w:val="24"/>
          <w:szCs w:val="24"/>
        </w:rPr>
        <w:t>对于打算买入深度</w:t>
      </w:r>
      <w:proofErr w:type="gramStart"/>
      <w:r w:rsidRPr="00637B3F">
        <w:rPr>
          <w:rFonts w:ascii="仿宋" w:eastAsia="仿宋" w:hAnsi="仿宋"/>
          <w:sz w:val="24"/>
          <w:szCs w:val="24"/>
        </w:rPr>
        <w:t>虚值期权</w:t>
      </w:r>
      <w:proofErr w:type="gramEnd"/>
      <w:r w:rsidRPr="00637B3F">
        <w:rPr>
          <w:rFonts w:ascii="仿宋" w:eastAsia="仿宋" w:hAnsi="仿宋"/>
          <w:sz w:val="24"/>
          <w:szCs w:val="24"/>
        </w:rPr>
        <w:t>做方向性交易的投资者来说，除非有很强预期价格会向目标方向大幅波动，否则尽量不要买入临近到期深度</w:t>
      </w:r>
      <w:proofErr w:type="gramStart"/>
      <w:r w:rsidRPr="00637B3F">
        <w:rPr>
          <w:rFonts w:ascii="仿宋" w:eastAsia="仿宋" w:hAnsi="仿宋"/>
          <w:sz w:val="24"/>
          <w:szCs w:val="24"/>
        </w:rPr>
        <w:t>虚值期权</w:t>
      </w:r>
      <w:proofErr w:type="gramEnd"/>
      <w:r w:rsidRPr="00637B3F">
        <w:rPr>
          <w:rFonts w:ascii="仿宋" w:eastAsia="仿宋" w:hAnsi="仿宋"/>
          <w:sz w:val="24"/>
          <w:szCs w:val="24"/>
        </w:rPr>
        <w:t xml:space="preserve">。　　</w:t>
      </w:r>
    </w:p>
    <w:p w:rsidR="00B72230" w:rsidRPr="00637B3F" w:rsidRDefault="00B72230" w:rsidP="00637B3F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37B3F">
        <w:rPr>
          <w:rFonts w:ascii="仿宋" w:eastAsia="仿宋" w:hAnsi="仿宋" w:hint="eastAsia"/>
          <w:sz w:val="24"/>
          <w:szCs w:val="24"/>
        </w:rPr>
        <w:t>（二）</w:t>
      </w:r>
      <w:r w:rsidRPr="00637B3F">
        <w:rPr>
          <w:rFonts w:ascii="仿宋" w:eastAsia="仿宋" w:hAnsi="仿宋"/>
          <w:sz w:val="24"/>
          <w:szCs w:val="24"/>
        </w:rPr>
        <w:t>对利用短期深度</w:t>
      </w:r>
      <w:proofErr w:type="gramStart"/>
      <w:r w:rsidRPr="00637B3F">
        <w:rPr>
          <w:rFonts w:ascii="仿宋" w:eastAsia="仿宋" w:hAnsi="仿宋"/>
          <w:sz w:val="24"/>
          <w:szCs w:val="24"/>
        </w:rPr>
        <w:t>虚值期权</w:t>
      </w:r>
      <w:proofErr w:type="gramEnd"/>
      <w:r w:rsidRPr="00637B3F">
        <w:rPr>
          <w:rFonts w:ascii="仿宋" w:eastAsia="仿宋" w:hAnsi="仿宋"/>
          <w:sz w:val="24"/>
          <w:szCs w:val="24"/>
        </w:rPr>
        <w:t>对标的资产进行保护的投资者，或者之前买入的平（实）值期权随着时间的流逝和标的价格的波动而变成短期</w:t>
      </w:r>
      <w:proofErr w:type="gramStart"/>
      <w:r w:rsidRPr="00637B3F">
        <w:rPr>
          <w:rFonts w:ascii="仿宋" w:eastAsia="仿宋" w:hAnsi="仿宋"/>
          <w:sz w:val="24"/>
          <w:szCs w:val="24"/>
        </w:rPr>
        <w:t>深度虚值的</w:t>
      </w:r>
      <w:proofErr w:type="gramEnd"/>
      <w:r w:rsidRPr="00637B3F">
        <w:rPr>
          <w:rFonts w:ascii="仿宋" w:eastAsia="仿宋" w:hAnsi="仿宋"/>
          <w:sz w:val="24"/>
          <w:szCs w:val="24"/>
        </w:rPr>
        <w:t>投资者来说，若预期持仓后期，期权成为实值的概率很低，最好将其平仓了事。</w:t>
      </w:r>
    </w:p>
    <w:p w:rsidR="0020358B" w:rsidRPr="00637B3F" w:rsidRDefault="0020358B" w:rsidP="00637B3F">
      <w:pPr>
        <w:spacing w:line="48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637B3F">
        <w:rPr>
          <w:rFonts w:ascii="仿宋" w:eastAsia="仿宋" w:hAnsi="仿宋" w:hint="eastAsia"/>
          <w:b/>
          <w:sz w:val="24"/>
          <w:szCs w:val="24"/>
        </w:rPr>
        <w:t>（资料来源：永安期货；作者：王晓宝）</w:t>
      </w:r>
    </w:p>
    <w:sectPr w:rsidR="0020358B" w:rsidRPr="00637B3F" w:rsidSect="0089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230"/>
    <w:rsid w:val="0017666F"/>
    <w:rsid w:val="0020358B"/>
    <w:rsid w:val="00637B3F"/>
    <w:rsid w:val="0089089C"/>
    <w:rsid w:val="00B7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722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22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5</cp:revision>
  <dcterms:created xsi:type="dcterms:W3CDTF">2016-09-08T02:14:00Z</dcterms:created>
  <dcterms:modified xsi:type="dcterms:W3CDTF">2016-09-08T02:32:00Z</dcterms:modified>
</cp:coreProperties>
</file>