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325F" w:rsidP="000B325F">
      <w:pPr>
        <w:spacing w:line="400" w:lineRule="exact"/>
        <w:ind w:firstLineChars="200" w:firstLine="482"/>
        <w:jc w:val="center"/>
        <w:rPr>
          <w:rFonts w:asciiTheme="majorEastAsia" w:eastAsiaTheme="majorEastAsia" w:hAnsiTheme="majorEastAsia" w:hint="eastAsia"/>
          <w:b/>
          <w:sz w:val="24"/>
          <w:szCs w:val="24"/>
        </w:rPr>
      </w:pPr>
      <w:r w:rsidRPr="000B325F">
        <w:rPr>
          <w:rFonts w:asciiTheme="majorEastAsia" w:eastAsiaTheme="majorEastAsia" w:hAnsiTheme="majorEastAsia" w:hint="eastAsia"/>
          <w:b/>
          <w:sz w:val="24"/>
          <w:szCs w:val="24"/>
        </w:rPr>
        <w:t>沪</w:t>
      </w:r>
      <w:proofErr w:type="gramStart"/>
      <w:r w:rsidRPr="000B325F">
        <w:rPr>
          <w:rFonts w:asciiTheme="majorEastAsia" w:eastAsiaTheme="majorEastAsia" w:hAnsiTheme="majorEastAsia" w:hint="eastAsia"/>
          <w:b/>
          <w:sz w:val="24"/>
          <w:szCs w:val="24"/>
        </w:rPr>
        <w:t>深股票</w:t>
      </w:r>
      <w:proofErr w:type="gramEnd"/>
      <w:r w:rsidRPr="000B325F">
        <w:rPr>
          <w:rFonts w:asciiTheme="majorEastAsia" w:eastAsiaTheme="majorEastAsia" w:hAnsiTheme="majorEastAsia" w:hint="eastAsia"/>
          <w:b/>
          <w:sz w:val="24"/>
          <w:szCs w:val="24"/>
        </w:rPr>
        <w:t>期权差异比较之：</w:t>
      </w:r>
      <w:proofErr w:type="gramStart"/>
      <w:r w:rsidRPr="000B325F">
        <w:rPr>
          <w:rFonts w:asciiTheme="majorEastAsia" w:eastAsiaTheme="majorEastAsia" w:hAnsiTheme="majorEastAsia" w:hint="eastAsia"/>
          <w:b/>
          <w:sz w:val="24"/>
          <w:szCs w:val="24"/>
        </w:rPr>
        <w:t>风控与</w:t>
      </w:r>
      <w:proofErr w:type="gramEnd"/>
      <w:r w:rsidRPr="000B325F">
        <w:rPr>
          <w:rFonts w:asciiTheme="majorEastAsia" w:eastAsiaTheme="majorEastAsia" w:hAnsiTheme="majorEastAsia" w:hint="eastAsia"/>
          <w:b/>
          <w:sz w:val="24"/>
          <w:szCs w:val="24"/>
        </w:rPr>
        <w:t>结算篇</w:t>
      </w:r>
    </w:p>
    <w:p w:rsid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上海证券交易所与深圳证券交易所在股票期权的配套规则设计上存在差异，本文将针对二者的差异</w:t>
      </w:r>
      <w:proofErr w:type="gramStart"/>
      <w:r w:rsidRPr="000B325F">
        <w:rPr>
          <w:rFonts w:ascii="仿宋" w:eastAsia="仿宋" w:hAnsi="仿宋" w:hint="eastAsia"/>
        </w:rPr>
        <w:t>进行风控与</w:t>
      </w:r>
      <w:proofErr w:type="gramEnd"/>
      <w:r w:rsidRPr="000B325F">
        <w:rPr>
          <w:rFonts w:ascii="仿宋" w:eastAsia="仿宋" w:hAnsi="仿宋" w:hint="eastAsia"/>
        </w:rPr>
        <w:t>结算制度上的比较。</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一、备兑证券不足的处理</w:t>
      </w:r>
    </w:p>
    <w:p w:rsidR="000B325F" w:rsidRPr="000B325F" w:rsidRDefault="000B325F" w:rsidP="000B325F">
      <w:pPr>
        <w:spacing w:line="400" w:lineRule="exact"/>
        <w:ind w:firstLineChars="200" w:firstLine="422"/>
        <w:rPr>
          <w:rFonts w:ascii="仿宋" w:eastAsia="仿宋" w:hAnsi="仿宋"/>
          <w:b/>
        </w:rPr>
      </w:pPr>
      <w:r w:rsidRPr="000B325F">
        <w:rPr>
          <w:rFonts w:ascii="仿宋" w:eastAsia="仿宋" w:hAnsi="仿宋" w:hint="eastAsia"/>
          <w:b/>
        </w:rPr>
        <w:t>上海期权备兑证券不足处理：</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若T日日末备兑证券（包括登记在册数量+可用数量）不足，会通知投资者于次一交易日11:30前自平或补</w:t>
      </w:r>
      <w:proofErr w:type="gramStart"/>
      <w:r w:rsidRPr="000B325F">
        <w:rPr>
          <w:rFonts w:ascii="仿宋" w:eastAsia="仿宋" w:hAnsi="仿宋" w:hint="eastAsia"/>
        </w:rPr>
        <w:t>券</w:t>
      </w:r>
      <w:proofErr w:type="gramEnd"/>
      <w:r w:rsidRPr="000B325F">
        <w:rPr>
          <w:rFonts w:ascii="仿宋" w:eastAsia="仿宋" w:hAnsi="仿宋" w:hint="eastAsia"/>
        </w:rPr>
        <w:t>,如未在上述时间内自行平仓或补</w:t>
      </w:r>
      <w:proofErr w:type="gramStart"/>
      <w:r w:rsidRPr="000B325F">
        <w:rPr>
          <w:rFonts w:ascii="仿宋" w:eastAsia="仿宋" w:hAnsi="仿宋" w:hint="eastAsia"/>
        </w:rPr>
        <w:t>券</w:t>
      </w:r>
      <w:proofErr w:type="gramEnd"/>
      <w:r w:rsidRPr="000B325F">
        <w:rPr>
          <w:rFonts w:ascii="仿宋" w:eastAsia="仿宋" w:hAnsi="仿宋" w:hint="eastAsia"/>
        </w:rPr>
        <w:t>，相关合约将会被强行平仓。</w:t>
      </w:r>
    </w:p>
    <w:p w:rsidR="000B325F" w:rsidRPr="000B325F" w:rsidRDefault="000B325F" w:rsidP="000B325F">
      <w:pPr>
        <w:spacing w:line="400" w:lineRule="exact"/>
        <w:ind w:firstLineChars="200" w:firstLine="422"/>
        <w:rPr>
          <w:rFonts w:ascii="仿宋" w:eastAsia="仿宋" w:hAnsi="仿宋" w:hint="eastAsia"/>
          <w:b/>
        </w:rPr>
      </w:pPr>
      <w:r w:rsidRPr="000B325F">
        <w:rPr>
          <w:rFonts w:ascii="仿宋" w:eastAsia="仿宋" w:hAnsi="仿宋" w:hint="eastAsia"/>
          <w:b/>
        </w:rPr>
        <w:t>深圳期权备兑证券不足处理：</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若T日日末备兑证券（包括登记在册数量+可用数量）不足，中国登记结算公司将不足部分对应的备兑仓转为普通仓，并收取维持保证金。</w:t>
      </w:r>
    </w:p>
    <w:p w:rsid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相比上交所强平的处理办法，深交所的备兑转普通办法更显人性化，免去了投资者因疏忽在备兑不足情形下被强行平仓的烦恼。</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二、持仓限额管理</w:t>
      </w:r>
    </w:p>
    <w:p w:rsidR="000B325F" w:rsidRPr="000B325F" w:rsidRDefault="000B325F" w:rsidP="000B325F">
      <w:pPr>
        <w:spacing w:line="400" w:lineRule="exact"/>
        <w:ind w:firstLineChars="200" w:firstLine="422"/>
        <w:rPr>
          <w:rFonts w:ascii="仿宋" w:eastAsia="仿宋" w:hAnsi="仿宋" w:hint="eastAsia"/>
          <w:b/>
        </w:rPr>
      </w:pPr>
      <w:r w:rsidRPr="000B325F">
        <w:rPr>
          <w:rFonts w:ascii="仿宋" w:eastAsia="仿宋" w:hAnsi="仿宋" w:hint="eastAsia"/>
          <w:b/>
        </w:rPr>
        <w:t>上海持仓限额管理：</w:t>
      </w:r>
      <w:r w:rsidRPr="000B325F">
        <w:rPr>
          <w:rFonts w:ascii="仿宋" w:eastAsia="仿宋" w:hAnsi="仿宋" w:hint="eastAsia"/>
        </w:rPr>
        <w:t>按单一衍生品合约账户进行前端控制。</w:t>
      </w:r>
    </w:p>
    <w:p w:rsidR="000B325F" w:rsidRPr="000B325F" w:rsidRDefault="000B325F" w:rsidP="000B325F">
      <w:pPr>
        <w:spacing w:line="400" w:lineRule="exact"/>
        <w:ind w:firstLineChars="200" w:firstLine="422"/>
        <w:rPr>
          <w:rFonts w:ascii="仿宋" w:eastAsia="仿宋" w:hAnsi="仿宋" w:hint="eastAsia"/>
        </w:rPr>
      </w:pPr>
      <w:r w:rsidRPr="000B325F">
        <w:rPr>
          <w:rFonts w:ascii="仿宋" w:eastAsia="仿宋" w:hAnsi="仿宋" w:hint="eastAsia"/>
          <w:b/>
        </w:rPr>
        <w:t>深圳持仓限额管理：</w:t>
      </w:r>
      <w:r w:rsidRPr="000B325F">
        <w:rPr>
          <w:rFonts w:ascii="仿宋" w:eastAsia="仿宋" w:hAnsi="仿宋" w:hint="eastAsia"/>
        </w:rPr>
        <w:t>按单一A股证券账户合并计算并进行前端控制。</w:t>
      </w:r>
    </w:p>
    <w:p w:rsid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对投资者而言，参与上交所期权业务仅需要关注单个合约账号是否满足交易所</w:t>
      </w:r>
      <w:proofErr w:type="gramStart"/>
      <w:r w:rsidRPr="000B325F">
        <w:rPr>
          <w:rFonts w:ascii="仿宋" w:eastAsia="仿宋" w:hAnsi="仿宋" w:hint="eastAsia"/>
        </w:rPr>
        <w:t>风控要求</w:t>
      </w:r>
      <w:proofErr w:type="gramEnd"/>
      <w:r w:rsidRPr="000B325F">
        <w:rPr>
          <w:rFonts w:ascii="仿宋" w:eastAsia="仿宋" w:hAnsi="仿宋" w:hint="eastAsia"/>
        </w:rPr>
        <w:t>即可，而参与深交所期权业务时不仅要考虑单个合约账号</w:t>
      </w:r>
      <w:proofErr w:type="gramStart"/>
      <w:r w:rsidRPr="000B325F">
        <w:rPr>
          <w:rFonts w:ascii="仿宋" w:eastAsia="仿宋" w:hAnsi="仿宋" w:hint="eastAsia"/>
        </w:rPr>
        <w:t>的风控指标</w:t>
      </w:r>
      <w:proofErr w:type="gramEnd"/>
      <w:r w:rsidRPr="000B325F">
        <w:rPr>
          <w:rFonts w:ascii="仿宋" w:eastAsia="仿宋" w:hAnsi="仿宋" w:hint="eastAsia"/>
        </w:rPr>
        <w:t>，还要从全局上合并考虑自己名下所有合约账号的</w:t>
      </w:r>
      <w:proofErr w:type="gramStart"/>
      <w:r w:rsidRPr="000B325F">
        <w:rPr>
          <w:rFonts w:ascii="仿宋" w:eastAsia="仿宋" w:hAnsi="仿宋" w:hint="eastAsia"/>
        </w:rPr>
        <w:t>相关风控指标</w:t>
      </w:r>
      <w:proofErr w:type="gramEnd"/>
      <w:r w:rsidRPr="000B325F">
        <w:rPr>
          <w:rFonts w:ascii="仿宋" w:eastAsia="仿宋" w:hAnsi="仿宋" w:hint="eastAsia"/>
        </w:rPr>
        <w:t>。</w:t>
      </w:r>
    </w:p>
    <w:p w:rsidR="000B325F" w:rsidRDefault="000B325F" w:rsidP="000B325F">
      <w:pPr>
        <w:spacing w:line="400" w:lineRule="exact"/>
        <w:ind w:firstLineChars="200" w:firstLine="420"/>
        <w:rPr>
          <w:rFonts w:ascii="仿宋" w:eastAsia="仿宋" w:hAnsi="仿宋" w:hint="eastAsia"/>
        </w:rPr>
      </w:pPr>
      <w:r>
        <w:rPr>
          <w:rFonts w:ascii="仿宋" w:eastAsia="仿宋" w:hAnsi="仿宋" w:hint="eastAsia"/>
        </w:rPr>
        <w:t>三、买入金额限制管理（新开账户）</w:t>
      </w:r>
    </w:p>
    <w:p w:rsidR="000B325F" w:rsidRPr="000B325F" w:rsidRDefault="000B325F" w:rsidP="000B325F">
      <w:pPr>
        <w:spacing w:line="400" w:lineRule="exact"/>
        <w:ind w:firstLineChars="200" w:firstLine="422"/>
        <w:rPr>
          <w:rFonts w:ascii="仿宋" w:eastAsia="仿宋" w:hAnsi="仿宋" w:hint="eastAsia"/>
          <w:b/>
        </w:rPr>
      </w:pPr>
      <w:r w:rsidRPr="000B325F">
        <w:rPr>
          <w:rFonts w:ascii="仿宋" w:eastAsia="仿宋" w:hAnsi="仿宋" w:hint="eastAsia"/>
          <w:b/>
        </w:rPr>
        <w:t>上交所买入金额限制管理：</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买入额度取下面两组数值较大者：</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（1）该投资者证券账户持有的证券市值与资金账户可用余额（不含通过融资融券交易融入的证券和资金）的10%；</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（2）该投资者证券账户过去六个月日均持有</w:t>
      </w:r>
      <w:r w:rsidRPr="000B325F">
        <w:rPr>
          <w:rFonts w:ascii="仿宋" w:eastAsia="仿宋" w:hAnsi="仿宋" w:hint="eastAsia"/>
          <w:b/>
        </w:rPr>
        <w:t>沪市证券</w:t>
      </w:r>
      <w:r w:rsidRPr="000B325F">
        <w:rPr>
          <w:rFonts w:ascii="仿宋" w:eastAsia="仿宋" w:hAnsi="仿宋" w:hint="eastAsia"/>
        </w:rPr>
        <w:t>市值的20%</w:t>
      </w:r>
      <w:r>
        <w:rPr>
          <w:rFonts w:ascii="仿宋" w:eastAsia="仿宋" w:hAnsi="仿宋" w:hint="eastAsia"/>
        </w:rPr>
        <w:t>。</w:t>
      </w:r>
    </w:p>
    <w:p w:rsidR="000B325F" w:rsidRPr="000B325F" w:rsidRDefault="000B325F" w:rsidP="000B325F">
      <w:pPr>
        <w:spacing w:line="400" w:lineRule="exact"/>
        <w:ind w:firstLineChars="200" w:firstLine="422"/>
        <w:rPr>
          <w:rFonts w:ascii="仿宋" w:eastAsia="仿宋" w:hAnsi="仿宋" w:hint="eastAsia"/>
          <w:b/>
        </w:rPr>
      </w:pPr>
      <w:r w:rsidRPr="000B325F">
        <w:rPr>
          <w:rFonts w:ascii="仿宋" w:eastAsia="仿宋" w:hAnsi="仿宋" w:hint="eastAsia"/>
          <w:b/>
        </w:rPr>
        <w:t>深交所买入金额限制管理：</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买入额度取下面两组数值较大者：</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（1）该投资者证券账户持有的证券市值与资金账户可用余额（不含通过融资融券交易融入的证券和资金）的10%；</w:t>
      </w:r>
    </w:p>
    <w:p w:rsidR="000B325F" w:rsidRP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（2）该投资者证券账户过去六个月日均持有</w:t>
      </w:r>
      <w:r w:rsidRPr="000B325F">
        <w:rPr>
          <w:rFonts w:ascii="仿宋" w:eastAsia="仿宋" w:hAnsi="仿宋" w:hint="eastAsia"/>
          <w:b/>
        </w:rPr>
        <w:t>沪深证券</w:t>
      </w:r>
      <w:r w:rsidRPr="000B325F">
        <w:rPr>
          <w:rFonts w:ascii="仿宋" w:eastAsia="仿宋" w:hAnsi="仿宋" w:hint="eastAsia"/>
        </w:rPr>
        <w:t>市值的20%（含期权）</w:t>
      </w:r>
      <w:r>
        <w:rPr>
          <w:rFonts w:ascii="仿宋" w:eastAsia="仿宋" w:hAnsi="仿宋" w:hint="eastAsia"/>
        </w:rPr>
        <w:t>。</w:t>
      </w:r>
    </w:p>
    <w:p w:rsid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在限购制度中，深交所衡量的是投资者持有沪深证券市值的合计数值，而上交所目前仅考虑沪市证券市值，显然深交所给予了投资者相对更多的买入额度。</w:t>
      </w:r>
    </w:p>
    <w:p w:rsidR="000B325F" w:rsidRDefault="000B325F" w:rsidP="000B325F">
      <w:pPr>
        <w:spacing w:line="400" w:lineRule="exact"/>
        <w:ind w:firstLineChars="200" w:firstLine="420"/>
        <w:rPr>
          <w:rFonts w:ascii="仿宋" w:eastAsia="仿宋" w:hAnsi="仿宋" w:hint="eastAsia"/>
        </w:rPr>
      </w:pPr>
      <w:r>
        <w:rPr>
          <w:rFonts w:ascii="仿宋" w:eastAsia="仿宋" w:hAnsi="仿宋" w:hint="eastAsia"/>
        </w:rPr>
        <w:t>四、结算交收规则</w:t>
      </w:r>
    </w:p>
    <w:p w:rsidR="000B325F" w:rsidRPr="000B325F" w:rsidRDefault="000B325F" w:rsidP="000B325F">
      <w:pPr>
        <w:spacing w:line="400" w:lineRule="exact"/>
        <w:ind w:firstLineChars="200" w:firstLine="422"/>
        <w:rPr>
          <w:rFonts w:ascii="仿宋" w:eastAsia="仿宋" w:hAnsi="仿宋" w:hint="eastAsia"/>
          <w:b/>
        </w:rPr>
      </w:pPr>
      <w:r w:rsidRPr="000B325F">
        <w:rPr>
          <w:rFonts w:ascii="仿宋" w:eastAsia="仿宋" w:hAnsi="仿宋" w:hint="eastAsia"/>
          <w:b/>
        </w:rPr>
        <w:t>上交所股票期权业务行权交收：</w:t>
      </w:r>
    </w:p>
    <w:p w:rsidR="000B325F" w:rsidRPr="000B325F" w:rsidRDefault="000B325F" w:rsidP="000B325F">
      <w:pPr>
        <w:spacing w:line="400" w:lineRule="exact"/>
        <w:ind w:firstLineChars="200" w:firstLine="422"/>
        <w:rPr>
          <w:rFonts w:ascii="仿宋" w:eastAsia="仿宋" w:hAnsi="仿宋" w:hint="eastAsia"/>
        </w:rPr>
      </w:pPr>
      <w:r w:rsidRPr="000B325F">
        <w:rPr>
          <w:rFonts w:ascii="仿宋" w:eastAsia="仿宋" w:hAnsi="仿宋" w:hint="eastAsia"/>
          <w:b/>
        </w:rPr>
        <w:t>不区分股票和ETF。</w:t>
      </w:r>
      <w:r w:rsidRPr="000B325F">
        <w:rPr>
          <w:rFonts w:ascii="仿宋" w:eastAsia="仿宋" w:hAnsi="仿宋" w:hint="eastAsia"/>
        </w:rPr>
        <w:t>即都为E日行权，E+1日日终交收，E+2日可卖</w:t>
      </w:r>
      <w:r w:rsidR="00C24633">
        <w:rPr>
          <w:rFonts w:ascii="仿宋" w:eastAsia="仿宋" w:hAnsi="仿宋" w:hint="eastAsia"/>
        </w:rPr>
        <w:t>；</w:t>
      </w:r>
    </w:p>
    <w:p w:rsidR="000B325F" w:rsidRPr="000B325F" w:rsidRDefault="000B325F" w:rsidP="000B325F">
      <w:pPr>
        <w:spacing w:line="400" w:lineRule="exact"/>
        <w:ind w:firstLineChars="200" w:firstLine="422"/>
        <w:rPr>
          <w:rFonts w:ascii="仿宋" w:eastAsia="仿宋" w:hAnsi="仿宋" w:hint="eastAsia"/>
          <w:b/>
        </w:rPr>
      </w:pPr>
      <w:r w:rsidRPr="000B325F">
        <w:rPr>
          <w:rFonts w:ascii="仿宋" w:eastAsia="仿宋" w:hAnsi="仿宋" w:hint="eastAsia"/>
          <w:b/>
        </w:rPr>
        <w:lastRenderedPageBreak/>
        <w:t>深交所股票期权业务行权交收：</w:t>
      </w:r>
    </w:p>
    <w:p w:rsidR="000B325F" w:rsidRPr="000B325F" w:rsidRDefault="000B325F" w:rsidP="000B325F">
      <w:pPr>
        <w:spacing w:line="400" w:lineRule="exact"/>
        <w:ind w:firstLineChars="200" w:firstLine="422"/>
        <w:rPr>
          <w:rFonts w:ascii="仿宋" w:eastAsia="仿宋" w:hAnsi="仿宋" w:hint="eastAsia"/>
        </w:rPr>
      </w:pPr>
      <w:r w:rsidRPr="000B325F">
        <w:rPr>
          <w:rFonts w:ascii="仿宋" w:eastAsia="仿宋" w:hAnsi="仿宋" w:hint="eastAsia"/>
          <w:b/>
        </w:rPr>
        <w:t>区别对待股票和ETF。</w:t>
      </w:r>
      <w:r w:rsidRPr="000B325F">
        <w:rPr>
          <w:rFonts w:ascii="仿宋" w:eastAsia="仿宋" w:hAnsi="仿宋" w:hint="eastAsia"/>
        </w:rPr>
        <w:t>采用E日行权，E+1日日终对标的为股票的合约进行交收，E+2日股票可卖；而E+2日日终对标的为ETF的合约进行交收，E+3日ETF可卖。</w:t>
      </w:r>
    </w:p>
    <w:p w:rsidR="000B325F" w:rsidRDefault="000B325F" w:rsidP="000B325F">
      <w:pPr>
        <w:spacing w:line="400" w:lineRule="exact"/>
        <w:ind w:firstLineChars="200" w:firstLine="420"/>
        <w:rPr>
          <w:rFonts w:ascii="仿宋" w:eastAsia="仿宋" w:hAnsi="仿宋" w:hint="eastAsia"/>
        </w:rPr>
      </w:pPr>
      <w:r w:rsidRPr="000B325F">
        <w:rPr>
          <w:rFonts w:ascii="仿宋" w:eastAsia="仿宋" w:hAnsi="仿宋" w:hint="eastAsia"/>
        </w:rPr>
        <w:t>对投资者而言，标的为股票的期权合约并没有什么差别，但是对标的为ETF的期权合约，深交所规则下需要多出一个交易日才能卖出交收得来的ETF，根据现行制度的周三为行权日推算，交收得来的ETF现货在下一个周一才能卖出（节假日顺延）。</w:t>
      </w:r>
    </w:p>
    <w:p w:rsidR="000B325F" w:rsidRDefault="000B325F" w:rsidP="000B325F">
      <w:pPr>
        <w:spacing w:line="400" w:lineRule="exact"/>
        <w:ind w:firstLineChars="200" w:firstLine="420"/>
        <w:rPr>
          <w:rFonts w:ascii="仿宋" w:eastAsia="仿宋" w:hAnsi="仿宋" w:hint="eastAsia"/>
        </w:rPr>
      </w:pPr>
      <w:r>
        <w:rPr>
          <w:rFonts w:ascii="仿宋" w:eastAsia="仿宋" w:hAnsi="仿宋" w:hint="eastAsia"/>
        </w:rPr>
        <w:t>五、行权现金结算价计算（个股期权）</w:t>
      </w:r>
    </w:p>
    <w:p w:rsidR="000B325F" w:rsidRPr="000B325F" w:rsidRDefault="000B325F" w:rsidP="000B325F">
      <w:pPr>
        <w:spacing w:line="400" w:lineRule="exact"/>
        <w:ind w:firstLineChars="200" w:firstLine="422"/>
        <w:rPr>
          <w:rFonts w:ascii="仿宋" w:eastAsia="仿宋" w:hAnsi="仿宋" w:hint="eastAsia"/>
        </w:rPr>
      </w:pPr>
      <w:r w:rsidRPr="000B325F">
        <w:rPr>
          <w:rFonts w:ascii="仿宋" w:eastAsia="仿宋" w:hAnsi="仿宋" w:hint="eastAsia"/>
          <w:b/>
        </w:rPr>
        <w:t>上交所行权现金结算价</w:t>
      </w:r>
      <w:r w:rsidRPr="000B325F">
        <w:rPr>
          <w:rFonts w:ascii="仿宋" w:eastAsia="仿宋" w:hAnsi="仿宋" w:hint="eastAsia"/>
        </w:rPr>
        <w:t>=最近一个交易日交易时段最后30分钟内的加权平均价。在该时段无成交的，取当日</w:t>
      </w:r>
      <w:proofErr w:type="gramStart"/>
      <w:r w:rsidRPr="000B325F">
        <w:rPr>
          <w:rFonts w:ascii="仿宋" w:eastAsia="仿宋" w:hAnsi="仿宋" w:hint="eastAsia"/>
        </w:rPr>
        <w:t>日</w:t>
      </w:r>
      <w:proofErr w:type="gramEnd"/>
      <w:r w:rsidRPr="000B325F">
        <w:rPr>
          <w:rFonts w:ascii="仿宋" w:eastAsia="仿宋" w:hAnsi="仿宋" w:hint="eastAsia"/>
        </w:rPr>
        <w:t>成交均价；最近交易日全天无成交的，取其上一交易日收盘价</w:t>
      </w:r>
      <w:r>
        <w:rPr>
          <w:rFonts w:ascii="仿宋" w:eastAsia="仿宋" w:hAnsi="仿宋" w:hint="eastAsia"/>
        </w:rPr>
        <w:t>。</w:t>
      </w:r>
    </w:p>
    <w:p w:rsidR="000B325F" w:rsidRPr="000B325F" w:rsidRDefault="000B325F" w:rsidP="000B325F">
      <w:pPr>
        <w:spacing w:line="400" w:lineRule="exact"/>
        <w:ind w:firstLineChars="200" w:firstLine="422"/>
        <w:rPr>
          <w:rFonts w:ascii="仿宋" w:eastAsia="仿宋" w:hAnsi="仿宋" w:hint="eastAsia"/>
        </w:rPr>
      </w:pPr>
      <w:r w:rsidRPr="000B325F">
        <w:rPr>
          <w:rFonts w:ascii="仿宋" w:eastAsia="仿宋" w:hAnsi="仿宋" w:hint="eastAsia"/>
          <w:b/>
        </w:rPr>
        <w:t>深交所行权现金结算价</w:t>
      </w:r>
      <w:r w:rsidRPr="000B325F">
        <w:rPr>
          <w:rFonts w:ascii="仿宋" w:eastAsia="仿宋" w:hAnsi="仿宋" w:hint="eastAsia"/>
        </w:rPr>
        <w:t>=最近一个交易日收盘集合竞价成交价。在该时段无成交的，取当日最后一笔成交前一个小时内成交量加权平均价格；若合约标的最近一个交易日全天无成交，取交易所发布的收盘价。</w:t>
      </w:r>
    </w:p>
    <w:p w:rsidR="000B325F" w:rsidRPr="00BC5F3A" w:rsidRDefault="00BC5F3A" w:rsidP="00BC5F3A">
      <w:pPr>
        <w:spacing w:line="400" w:lineRule="exact"/>
        <w:ind w:firstLineChars="200" w:firstLine="422"/>
        <w:rPr>
          <w:rFonts w:ascii="仿宋" w:eastAsia="仿宋" w:hAnsi="仿宋" w:hint="eastAsia"/>
          <w:b/>
        </w:rPr>
      </w:pPr>
      <w:r w:rsidRPr="00BC5F3A">
        <w:rPr>
          <w:rFonts w:ascii="仿宋" w:eastAsia="仿宋" w:hAnsi="仿宋" w:hint="eastAsia"/>
          <w:b/>
        </w:rPr>
        <w:t>（资料来源：和</w:t>
      </w:r>
      <w:proofErr w:type="gramStart"/>
      <w:r w:rsidRPr="00BC5F3A">
        <w:rPr>
          <w:rFonts w:ascii="仿宋" w:eastAsia="仿宋" w:hAnsi="仿宋" w:hint="eastAsia"/>
          <w:b/>
        </w:rPr>
        <w:t>讯期</w:t>
      </w:r>
      <w:proofErr w:type="gramEnd"/>
      <w:r w:rsidRPr="00BC5F3A">
        <w:rPr>
          <w:rFonts w:ascii="仿宋" w:eastAsia="仿宋" w:hAnsi="仿宋" w:hint="eastAsia"/>
          <w:b/>
        </w:rPr>
        <w:t>权）</w:t>
      </w:r>
    </w:p>
    <w:p w:rsidR="000B325F" w:rsidRPr="000B325F" w:rsidRDefault="000B325F" w:rsidP="000B325F">
      <w:pPr>
        <w:spacing w:line="400" w:lineRule="exact"/>
        <w:ind w:firstLineChars="200" w:firstLine="420"/>
        <w:rPr>
          <w:rFonts w:ascii="仿宋" w:eastAsia="仿宋" w:hAnsi="仿宋" w:hint="eastAsia"/>
        </w:rPr>
      </w:pPr>
    </w:p>
    <w:p w:rsidR="000B325F" w:rsidRPr="000B325F" w:rsidRDefault="000B325F" w:rsidP="000B325F">
      <w:pPr>
        <w:spacing w:line="400" w:lineRule="exact"/>
        <w:ind w:firstLineChars="200" w:firstLine="420"/>
        <w:rPr>
          <w:rFonts w:ascii="仿宋" w:eastAsia="仿宋" w:hAnsi="仿宋" w:hint="eastAsia"/>
        </w:rPr>
      </w:pPr>
    </w:p>
    <w:p w:rsidR="000B325F" w:rsidRPr="000B325F" w:rsidRDefault="000B325F" w:rsidP="000B325F">
      <w:pPr>
        <w:spacing w:line="400" w:lineRule="exact"/>
        <w:ind w:firstLineChars="200" w:firstLine="420"/>
        <w:rPr>
          <w:rFonts w:ascii="仿宋" w:eastAsia="仿宋" w:hAnsi="仿宋" w:hint="eastAsia"/>
        </w:rPr>
      </w:pPr>
    </w:p>
    <w:p w:rsidR="000B325F" w:rsidRPr="000B325F" w:rsidRDefault="000B325F" w:rsidP="000B325F">
      <w:pPr>
        <w:spacing w:line="400" w:lineRule="exact"/>
        <w:ind w:firstLineChars="200" w:firstLine="420"/>
        <w:rPr>
          <w:rFonts w:hint="eastAsia"/>
        </w:rPr>
      </w:pPr>
    </w:p>
    <w:p w:rsidR="000B325F" w:rsidRPr="000B325F" w:rsidRDefault="000B325F" w:rsidP="000B325F">
      <w:pPr>
        <w:pStyle w:val="a4"/>
        <w:spacing w:line="400" w:lineRule="exact"/>
        <w:rPr>
          <w:rFonts w:ascii="仿宋" w:eastAsia="仿宋" w:hAnsi="仿宋"/>
        </w:rPr>
      </w:pPr>
    </w:p>
    <w:sectPr w:rsidR="000B325F" w:rsidRPr="000B32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7BF4"/>
    <w:multiLevelType w:val="hybridMultilevel"/>
    <w:tmpl w:val="3FCCF038"/>
    <w:lvl w:ilvl="0" w:tplc="C6BCD0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FD7B6A"/>
    <w:multiLevelType w:val="hybridMultilevel"/>
    <w:tmpl w:val="0FBAD258"/>
    <w:lvl w:ilvl="0" w:tplc="F0907914">
      <w:start w:val="1"/>
      <w:numFmt w:val="japaneseCounting"/>
      <w:lvlText w:val="%1、"/>
      <w:lvlJc w:val="left"/>
      <w:pPr>
        <w:ind w:left="420" w:hanging="42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A24493"/>
    <w:multiLevelType w:val="hybridMultilevel"/>
    <w:tmpl w:val="CBECBAC2"/>
    <w:lvl w:ilvl="0" w:tplc="229638EC">
      <w:start w:val="1"/>
      <w:numFmt w:val="japaneseCounting"/>
      <w:lvlText w:val="%1、"/>
      <w:lvlJc w:val="left"/>
      <w:pPr>
        <w:ind w:left="420" w:hanging="42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25F"/>
    <w:rsid w:val="000B325F"/>
    <w:rsid w:val="00BC5F3A"/>
    <w:rsid w:val="00C24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B325F"/>
    <w:rPr>
      <w:i/>
      <w:iCs/>
    </w:rPr>
  </w:style>
  <w:style w:type="paragraph" w:styleId="a4">
    <w:name w:val="List Paragraph"/>
    <w:basedOn w:val="a"/>
    <w:uiPriority w:val="34"/>
    <w:qFormat/>
    <w:rsid w:val="000B325F"/>
    <w:pPr>
      <w:ind w:firstLineChars="200" w:firstLine="420"/>
    </w:pPr>
  </w:style>
  <w:style w:type="paragraph" w:styleId="a5">
    <w:name w:val="Normal (Web)"/>
    <w:basedOn w:val="a"/>
    <w:uiPriority w:val="99"/>
    <w:unhideWhenUsed/>
    <w:rsid w:val="000B32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B325F"/>
    <w:rPr>
      <w:b/>
      <w:bCs/>
    </w:rPr>
  </w:style>
</w:styles>
</file>

<file path=word/webSettings.xml><?xml version="1.0" encoding="utf-8"?>
<w:webSettings xmlns:r="http://schemas.openxmlformats.org/officeDocument/2006/relationships" xmlns:w="http://schemas.openxmlformats.org/wordprocessingml/2006/main">
  <w:divs>
    <w:div w:id="356583987">
      <w:bodyDiv w:val="1"/>
      <w:marLeft w:val="0"/>
      <w:marRight w:val="0"/>
      <w:marTop w:val="0"/>
      <w:marBottom w:val="0"/>
      <w:divBdr>
        <w:top w:val="none" w:sz="0" w:space="0" w:color="auto"/>
        <w:left w:val="none" w:sz="0" w:space="0" w:color="auto"/>
        <w:bottom w:val="none" w:sz="0" w:space="0" w:color="auto"/>
        <w:right w:val="none" w:sz="0" w:space="0" w:color="auto"/>
      </w:divBdr>
    </w:div>
    <w:div w:id="362245855">
      <w:bodyDiv w:val="1"/>
      <w:marLeft w:val="0"/>
      <w:marRight w:val="0"/>
      <w:marTop w:val="0"/>
      <w:marBottom w:val="0"/>
      <w:divBdr>
        <w:top w:val="none" w:sz="0" w:space="0" w:color="auto"/>
        <w:left w:val="none" w:sz="0" w:space="0" w:color="auto"/>
        <w:bottom w:val="none" w:sz="0" w:space="0" w:color="auto"/>
        <w:right w:val="none" w:sz="0" w:space="0" w:color="auto"/>
      </w:divBdr>
    </w:div>
    <w:div w:id="604995393">
      <w:bodyDiv w:val="1"/>
      <w:marLeft w:val="0"/>
      <w:marRight w:val="0"/>
      <w:marTop w:val="0"/>
      <w:marBottom w:val="0"/>
      <w:divBdr>
        <w:top w:val="none" w:sz="0" w:space="0" w:color="auto"/>
        <w:left w:val="none" w:sz="0" w:space="0" w:color="auto"/>
        <w:bottom w:val="none" w:sz="0" w:space="0" w:color="auto"/>
        <w:right w:val="none" w:sz="0" w:space="0" w:color="auto"/>
      </w:divBdr>
    </w:div>
    <w:div w:id="999387197">
      <w:bodyDiv w:val="1"/>
      <w:marLeft w:val="0"/>
      <w:marRight w:val="0"/>
      <w:marTop w:val="0"/>
      <w:marBottom w:val="0"/>
      <w:divBdr>
        <w:top w:val="none" w:sz="0" w:space="0" w:color="auto"/>
        <w:left w:val="none" w:sz="0" w:space="0" w:color="auto"/>
        <w:bottom w:val="none" w:sz="0" w:space="0" w:color="auto"/>
        <w:right w:val="none" w:sz="0" w:space="0" w:color="auto"/>
      </w:divBdr>
    </w:div>
    <w:div w:id="1109201087">
      <w:bodyDiv w:val="1"/>
      <w:marLeft w:val="0"/>
      <w:marRight w:val="0"/>
      <w:marTop w:val="0"/>
      <w:marBottom w:val="0"/>
      <w:divBdr>
        <w:top w:val="none" w:sz="0" w:space="0" w:color="auto"/>
        <w:left w:val="none" w:sz="0" w:space="0" w:color="auto"/>
        <w:bottom w:val="none" w:sz="0" w:space="0" w:color="auto"/>
        <w:right w:val="none" w:sz="0" w:space="0" w:color="auto"/>
      </w:divBdr>
    </w:div>
    <w:div w:id="1345546187">
      <w:bodyDiv w:val="1"/>
      <w:marLeft w:val="0"/>
      <w:marRight w:val="0"/>
      <w:marTop w:val="0"/>
      <w:marBottom w:val="0"/>
      <w:divBdr>
        <w:top w:val="none" w:sz="0" w:space="0" w:color="auto"/>
        <w:left w:val="none" w:sz="0" w:space="0" w:color="auto"/>
        <w:bottom w:val="none" w:sz="0" w:space="0" w:color="auto"/>
        <w:right w:val="none" w:sz="0" w:space="0" w:color="auto"/>
      </w:divBdr>
    </w:div>
    <w:div w:id="1406688709">
      <w:bodyDiv w:val="1"/>
      <w:marLeft w:val="0"/>
      <w:marRight w:val="0"/>
      <w:marTop w:val="0"/>
      <w:marBottom w:val="0"/>
      <w:divBdr>
        <w:top w:val="none" w:sz="0" w:space="0" w:color="auto"/>
        <w:left w:val="none" w:sz="0" w:space="0" w:color="auto"/>
        <w:bottom w:val="none" w:sz="0" w:space="0" w:color="auto"/>
        <w:right w:val="none" w:sz="0" w:space="0" w:color="auto"/>
      </w:divBdr>
    </w:div>
    <w:div w:id="14800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189</Words>
  <Characters>1083</Characters>
  <Application>Microsoft Office Word</Application>
  <DocSecurity>0</DocSecurity>
  <Lines>9</Lines>
  <Paragraphs>2</Paragraphs>
  <ScaleCrop>false</ScaleCrop>
  <Company>Hewlett-Packard Company</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2016-07-13T00:11:00Z</dcterms:created>
  <dcterms:modified xsi:type="dcterms:W3CDTF">2016-07-13T00:24:00Z</dcterms:modified>
</cp:coreProperties>
</file>