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AD" w:rsidRDefault="006441AD" w:rsidP="006441AD">
      <w:pPr>
        <w:jc w:val="center"/>
        <w:rPr>
          <w:rFonts w:asciiTheme="majorEastAsia" w:eastAsiaTheme="majorEastAsia" w:hAnsiTheme="majorEastAsia" w:hint="eastAsia"/>
          <w:b/>
          <w:sz w:val="28"/>
          <w:szCs w:val="28"/>
        </w:rPr>
      </w:pPr>
      <w:r w:rsidRPr="006441AD">
        <w:rPr>
          <w:rFonts w:asciiTheme="majorEastAsia" w:eastAsiaTheme="majorEastAsia" w:hAnsiTheme="majorEastAsia" w:hint="eastAsia"/>
          <w:b/>
          <w:sz w:val="28"/>
          <w:szCs w:val="28"/>
        </w:rPr>
        <w:t>比率组合与比率卖出组合的比较</w:t>
      </w:r>
    </w:p>
    <w:p w:rsidR="006441AD" w:rsidRPr="00FE0702" w:rsidRDefault="006441AD" w:rsidP="00FE0702">
      <w:pPr>
        <w:spacing w:line="560" w:lineRule="exact"/>
        <w:ind w:firstLineChars="200" w:firstLine="480"/>
        <w:jc w:val="left"/>
        <w:rPr>
          <w:rFonts w:ascii="仿宋" w:eastAsia="仿宋" w:hAnsi="仿宋" w:hint="eastAsia"/>
          <w:sz w:val="24"/>
          <w:szCs w:val="24"/>
        </w:rPr>
      </w:pPr>
      <w:r w:rsidRPr="00FE0702">
        <w:rPr>
          <w:rFonts w:ascii="仿宋" w:eastAsia="仿宋" w:hAnsi="仿宋" w:hint="eastAsia"/>
          <w:sz w:val="24"/>
          <w:szCs w:val="24"/>
        </w:rPr>
        <w:t>比率组合和比率卖出组合是两类极其相似的组合交易策略，他们都是以设置对冲比率为手段，尝试在风险与收益之间寻找均衡。不过，二者所使用的交易工具不同，比率卖出组合采用标的资产和期权作为交易工具，而比率组合则完全使用期权工具。基于标的资产和期权的不同结构，二者在风险大小方面也有差异。</w:t>
      </w:r>
    </w:p>
    <w:tbl>
      <w:tblPr>
        <w:tblStyle w:val="a3"/>
        <w:tblW w:w="0" w:type="auto"/>
        <w:tblBorders>
          <w:top w:val="double" w:sz="4" w:space="0" w:color="auto"/>
          <w:left w:val="double" w:sz="4" w:space="0" w:color="auto"/>
          <w:bottom w:val="double" w:sz="4" w:space="0" w:color="auto"/>
          <w:right w:val="double" w:sz="4" w:space="0" w:color="auto"/>
        </w:tblBorders>
        <w:tblLook w:val="04A0"/>
      </w:tblPr>
      <w:tblGrid>
        <w:gridCol w:w="1384"/>
        <w:gridCol w:w="3260"/>
        <w:gridCol w:w="3878"/>
      </w:tblGrid>
      <w:tr w:rsidR="00DD21A5" w:rsidRPr="00690C50" w:rsidTr="00AB3003">
        <w:tc>
          <w:tcPr>
            <w:tcW w:w="1384" w:type="dxa"/>
            <w:tcBorders>
              <w:top w:val="double" w:sz="4" w:space="0" w:color="auto"/>
              <w:bottom w:val="single" w:sz="4" w:space="0" w:color="000000" w:themeColor="text1"/>
            </w:tcBorders>
            <w:shd w:val="clear" w:color="auto" w:fill="BFBFBF" w:themeFill="background1" w:themeFillShade="BF"/>
          </w:tcPr>
          <w:p w:rsidR="00DD21A5" w:rsidRPr="00690C50" w:rsidRDefault="00DD21A5" w:rsidP="00AB3003">
            <w:pPr>
              <w:jc w:val="center"/>
              <w:rPr>
                <w:rFonts w:asciiTheme="minorEastAsia" w:hAnsiTheme="minorEastAsia" w:hint="eastAsia"/>
                <w:b/>
                <w:szCs w:val="21"/>
              </w:rPr>
            </w:pPr>
            <w:r w:rsidRPr="00690C50">
              <w:rPr>
                <w:rFonts w:asciiTheme="minorEastAsia" w:hAnsiTheme="minorEastAsia" w:hint="eastAsia"/>
                <w:b/>
                <w:szCs w:val="21"/>
              </w:rPr>
              <w:t>策略名称</w:t>
            </w:r>
          </w:p>
        </w:tc>
        <w:tc>
          <w:tcPr>
            <w:tcW w:w="3260" w:type="dxa"/>
            <w:tcBorders>
              <w:top w:val="double" w:sz="4" w:space="0" w:color="auto"/>
              <w:bottom w:val="single" w:sz="4" w:space="0" w:color="000000" w:themeColor="text1"/>
            </w:tcBorders>
            <w:shd w:val="clear" w:color="auto" w:fill="BFBFBF" w:themeFill="background1" w:themeFillShade="BF"/>
          </w:tcPr>
          <w:p w:rsidR="00DD21A5" w:rsidRPr="00690C50" w:rsidRDefault="00DD21A5" w:rsidP="00690C50">
            <w:pPr>
              <w:jc w:val="center"/>
              <w:rPr>
                <w:rFonts w:asciiTheme="minorEastAsia" w:hAnsiTheme="minorEastAsia" w:hint="eastAsia"/>
                <w:b/>
                <w:szCs w:val="21"/>
              </w:rPr>
            </w:pPr>
            <w:r w:rsidRPr="00690C50">
              <w:rPr>
                <w:rFonts w:asciiTheme="minorEastAsia" w:hAnsiTheme="minorEastAsia" w:hint="eastAsia"/>
                <w:b/>
                <w:szCs w:val="21"/>
              </w:rPr>
              <w:t>比率组合</w:t>
            </w:r>
          </w:p>
        </w:tc>
        <w:tc>
          <w:tcPr>
            <w:tcW w:w="3878" w:type="dxa"/>
            <w:tcBorders>
              <w:top w:val="double" w:sz="4" w:space="0" w:color="auto"/>
              <w:bottom w:val="single" w:sz="4" w:space="0" w:color="000000" w:themeColor="text1"/>
            </w:tcBorders>
            <w:shd w:val="clear" w:color="auto" w:fill="BFBFBF" w:themeFill="background1" w:themeFillShade="BF"/>
          </w:tcPr>
          <w:p w:rsidR="00DD21A5" w:rsidRPr="00690C50" w:rsidRDefault="00DD21A5" w:rsidP="00690C50">
            <w:pPr>
              <w:jc w:val="center"/>
              <w:rPr>
                <w:rFonts w:asciiTheme="minorEastAsia" w:hAnsiTheme="minorEastAsia" w:hint="eastAsia"/>
                <w:b/>
                <w:szCs w:val="21"/>
              </w:rPr>
            </w:pPr>
            <w:r w:rsidRPr="00690C50">
              <w:rPr>
                <w:rFonts w:asciiTheme="minorEastAsia" w:hAnsiTheme="minorEastAsia" w:hint="eastAsia"/>
                <w:b/>
                <w:szCs w:val="21"/>
              </w:rPr>
              <w:t>比率卖出组合</w:t>
            </w:r>
          </w:p>
        </w:tc>
      </w:tr>
      <w:tr w:rsidR="00DD21A5" w:rsidRPr="00690C50" w:rsidTr="00AB3003">
        <w:tc>
          <w:tcPr>
            <w:tcW w:w="1384" w:type="dxa"/>
            <w:tcBorders>
              <w:top w:val="single" w:sz="4" w:space="0" w:color="000000" w:themeColor="text1"/>
            </w:tcBorders>
          </w:tcPr>
          <w:p w:rsidR="00534595" w:rsidRDefault="00534595" w:rsidP="00AB3003">
            <w:pPr>
              <w:jc w:val="center"/>
              <w:rPr>
                <w:rFonts w:asciiTheme="minorEastAsia" w:hAnsiTheme="minorEastAsia" w:hint="eastAsia"/>
                <w:b/>
                <w:szCs w:val="21"/>
              </w:rPr>
            </w:pPr>
          </w:p>
          <w:p w:rsidR="00DD21A5" w:rsidRPr="00690C50" w:rsidRDefault="00DD21A5" w:rsidP="00AB3003">
            <w:pPr>
              <w:jc w:val="center"/>
              <w:rPr>
                <w:rFonts w:asciiTheme="minorEastAsia" w:hAnsiTheme="minorEastAsia" w:hint="eastAsia"/>
                <w:b/>
                <w:szCs w:val="21"/>
              </w:rPr>
            </w:pPr>
            <w:r w:rsidRPr="00690C50">
              <w:rPr>
                <w:rFonts w:asciiTheme="minorEastAsia" w:hAnsiTheme="minorEastAsia" w:hint="eastAsia"/>
                <w:b/>
                <w:szCs w:val="21"/>
              </w:rPr>
              <w:t>构造方式</w:t>
            </w:r>
          </w:p>
        </w:tc>
        <w:tc>
          <w:tcPr>
            <w:tcW w:w="3260" w:type="dxa"/>
            <w:tcBorders>
              <w:top w:val="single" w:sz="4" w:space="0" w:color="000000" w:themeColor="text1"/>
            </w:tcBorders>
          </w:tcPr>
          <w:p w:rsidR="00DD21A5" w:rsidRPr="00690C50" w:rsidRDefault="00DD21A5" w:rsidP="00407D62">
            <w:pPr>
              <w:jc w:val="left"/>
              <w:rPr>
                <w:rFonts w:asciiTheme="minorEastAsia" w:hAnsiTheme="minorEastAsia" w:hint="eastAsia"/>
                <w:szCs w:val="21"/>
              </w:rPr>
            </w:pPr>
            <w:r w:rsidRPr="00690C50">
              <w:rPr>
                <w:rFonts w:asciiTheme="minorEastAsia" w:hAnsiTheme="minorEastAsia" w:hint="eastAsia"/>
                <w:szCs w:val="21"/>
              </w:rPr>
              <w:t>买入N</w:t>
            </w:r>
            <w:r w:rsidR="00134538" w:rsidRPr="00690C50">
              <w:rPr>
                <w:rFonts w:asciiTheme="minorEastAsia" w:hAnsiTheme="minorEastAsia" w:hint="eastAsia"/>
                <w:szCs w:val="21"/>
              </w:rPr>
              <w:t>手认购</w:t>
            </w:r>
            <w:r w:rsidRPr="00690C50">
              <w:rPr>
                <w:rFonts w:asciiTheme="minorEastAsia" w:hAnsiTheme="minorEastAsia" w:hint="eastAsia"/>
                <w:szCs w:val="21"/>
              </w:rPr>
              <w:t>期权，同时卖出M（M＞N）</w:t>
            </w:r>
            <w:r w:rsidR="00134538" w:rsidRPr="00690C50">
              <w:rPr>
                <w:rFonts w:asciiTheme="minorEastAsia" w:hAnsiTheme="minorEastAsia" w:hint="eastAsia"/>
                <w:szCs w:val="21"/>
              </w:rPr>
              <w:t>手更高执行价格的认购期权</w:t>
            </w:r>
          </w:p>
        </w:tc>
        <w:tc>
          <w:tcPr>
            <w:tcW w:w="3878" w:type="dxa"/>
            <w:tcBorders>
              <w:top w:val="single" w:sz="4" w:space="0" w:color="000000" w:themeColor="text1"/>
            </w:tcBorders>
          </w:tcPr>
          <w:p w:rsidR="00DD21A5" w:rsidRPr="00690C50" w:rsidRDefault="00134538" w:rsidP="00407D62">
            <w:pPr>
              <w:jc w:val="left"/>
              <w:rPr>
                <w:rFonts w:asciiTheme="minorEastAsia" w:hAnsiTheme="minorEastAsia" w:hint="eastAsia"/>
                <w:szCs w:val="21"/>
              </w:rPr>
            </w:pPr>
            <w:r w:rsidRPr="00690C50">
              <w:rPr>
                <w:rFonts w:asciiTheme="minorEastAsia" w:hAnsiTheme="minorEastAsia" w:hint="eastAsia"/>
                <w:szCs w:val="21"/>
              </w:rPr>
              <w:t>买入N手标的资产，同时卖出M（M＞N）手认购期权</w:t>
            </w:r>
          </w:p>
        </w:tc>
      </w:tr>
      <w:tr w:rsidR="00DD21A5" w:rsidRPr="00690C50" w:rsidTr="00AB3003">
        <w:tc>
          <w:tcPr>
            <w:tcW w:w="1384" w:type="dxa"/>
          </w:tcPr>
          <w:p w:rsidR="00534595" w:rsidRDefault="00534595" w:rsidP="00AB3003">
            <w:pPr>
              <w:jc w:val="center"/>
              <w:rPr>
                <w:rFonts w:asciiTheme="minorEastAsia" w:hAnsiTheme="minorEastAsia" w:hint="eastAsia"/>
                <w:b/>
                <w:szCs w:val="21"/>
              </w:rPr>
            </w:pPr>
          </w:p>
          <w:p w:rsidR="00DD21A5" w:rsidRPr="00690C50" w:rsidRDefault="00DD21A5" w:rsidP="00AB3003">
            <w:pPr>
              <w:jc w:val="center"/>
              <w:rPr>
                <w:rFonts w:asciiTheme="minorEastAsia" w:hAnsiTheme="minorEastAsia" w:hint="eastAsia"/>
                <w:b/>
                <w:szCs w:val="21"/>
              </w:rPr>
            </w:pPr>
            <w:r w:rsidRPr="00690C50">
              <w:rPr>
                <w:rFonts w:asciiTheme="minorEastAsia" w:hAnsiTheme="minorEastAsia" w:hint="eastAsia"/>
                <w:b/>
                <w:szCs w:val="21"/>
              </w:rPr>
              <w:t>收</w:t>
            </w:r>
            <w:r w:rsidR="00534595">
              <w:rPr>
                <w:rFonts w:asciiTheme="minorEastAsia" w:hAnsiTheme="minorEastAsia" w:hint="eastAsia"/>
                <w:b/>
                <w:szCs w:val="21"/>
              </w:rPr>
              <w:t xml:space="preserve"> </w:t>
            </w:r>
            <w:r w:rsidRPr="00690C50">
              <w:rPr>
                <w:rFonts w:asciiTheme="minorEastAsia" w:hAnsiTheme="minorEastAsia" w:hint="eastAsia"/>
                <w:b/>
                <w:szCs w:val="21"/>
              </w:rPr>
              <w:t>益</w:t>
            </w:r>
          </w:p>
        </w:tc>
        <w:tc>
          <w:tcPr>
            <w:tcW w:w="3260" w:type="dxa"/>
          </w:tcPr>
          <w:p w:rsidR="00DD21A5" w:rsidRPr="00690C50" w:rsidRDefault="00134538" w:rsidP="00407D62">
            <w:pPr>
              <w:jc w:val="left"/>
              <w:rPr>
                <w:rFonts w:asciiTheme="minorEastAsia" w:hAnsiTheme="minorEastAsia" w:hint="eastAsia"/>
                <w:szCs w:val="21"/>
              </w:rPr>
            </w:pPr>
            <w:r w:rsidRPr="00690C50">
              <w:rPr>
                <w:rFonts w:asciiTheme="minorEastAsia" w:hAnsiTheme="minorEastAsia" w:hint="eastAsia"/>
                <w:szCs w:val="21"/>
              </w:rPr>
              <w:t>只要标的价格不超过高执行价格，便有利润产生。最大收益=高执行价格-低执行价格+净权利金</w:t>
            </w:r>
          </w:p>
        </w:tc>
        <w:tc>
          <w:tcPr>
            <w:tcW w:w="3878" w:type="dxa"/>
          </w:tcPr>
          <w:p w:rsidR="00DD21A5" w:rsidRPr="00690C50" w:rsidRDefault="00134538" w:rsidP="00407D62">
            <w:pPr>
              <w:jc w:val="left"/>
              <w:rPr>
                <w:rFonts w:asciiTheme="minorEastAsia" w:hAnsiTheme="minorEastAsia" w:hint="eastAsia"/>
                <w:szCs w:val="21"/>
              </w:rPr>
            </w:pPr>
            <w:r w:rsidRPr="00690C50">
              <w:rPr>
                <w:rFonts w:asciiTheme="minorEastAsia" w:hAnsiTheme="minorEastAsia" w:hint="eastAsia"/>
                <w:szCs w:val="21"/>
              </w:rPr>
              <w:t>只要标的价格不超过期权的执行价格，便有利润产生。最大收益=执行价格-标的资产建仓价+权利金</w:t>
            </w:r>
          </w:p>
        </w:tc>
      </w:tr>
      <w:tr w:rsidR="00DD21A5" w:rsidRPr="00690C50" w:rsidTr="00AB3003">
        <w:tc>
          <w:tcPr>
            <w:tcW w:w="1384" w:type="dxa"/>
          </w:tcPr>
          <w:p w:rsidR="00AB3003" w:rsidRDefault="00AB3003" w:rsidP="00AB3003">
            <w:pPr>
              <w:jc w:val="center"/>
              <w:rPr>
                <w:rFonts w:asciiTheme="minorEastAsia" w:hAnsiTheme="minorEastAsia" w:hint="eastAsia"/>
                <w:b/>
                <w:szCs w:val="21"/>
              </w:rPr>
            </w:pPr>
          </w:p>
          <w:p w:rsidR="00DD21A5" w:rsidRPr="00690C50" w:rsidRDefault="00534595" w:rsidP="00AB3003">
            <w:pPr>
              <w:jc w:val="center"/>
              <w:rPr>
                <w:rFonts w:asciiTheme="minorEastAsia" w:hAnsiTheme="minorEastAsia" w:hint="eastAsia"/>
                <w:b/>
                <w:szCs w:val="21"/>
              </w:rPr>
            </w:pPr>
            <w:r>
              <w:rPr>
                <w:rFonts w:asciiTheme="minorEastAsia" w:hAnsiTheme="minorEastAsia" w:hint="eastAsia"/>
                <w:b/>
                <w:szCs w:val="21"/>
              </w:rPr>
              <w:t>风 险</w:t>
            </w:r>
          </w:p>
        </w:tc>
        <w:tc>
          <w:tcPr>
            <w:tcW w:w="3260" w:type="dxa"/>
          </w:tcPr>
          <w:p w:rsidR="00DD21A5" w:rsidRPr="00690C50" w:rsidRDefault="00134538" w:rsidP="00407D62">
            <w:pPr>
              <w:jc w:val="left"/>
              <w:rPr>
                <w:rFonts w:asciiTheme="minorEastAsia" w:hAnsiTheme="minorEastAsia" w:hint="eastAsia"/>
                <w:szCs w:val="21"/>
              </w:rPr>
            </w:pPr>
            <w:r w:rsidRPr="00690C50">
              <w:rPr>
                <w:rFonts w:asciiTheme="minorEastAsia" w:hAnsiTheme="minorEastAsia" w:hint="eastAsia"/>
                <w:szCs w:val="21"/>
              </w:rPr>
              <w:t>当标的资产价格超过高执行价格时，产生风险，且随着标的资产价格的上涨，风险不断加大</w:t>
            </w:r>
          </w:p>
        </w:tc>
        <w:tc>
          <w:tcPr>
            <w:tcW w:w="3878" w:type="dxa"/>
          </w:tcPr>
          <w:p w:rsidR="00DD21A5" w:rsidRPr="00690C50" w:rsidRDefault="00134538" w:rsidP="00407D62">
            <w:pPr>
              <w:jc w:val="left"/>
              <w:rPr>
                <w:rFonts w:asciiTheme="minorEastAsia" w:hAnsiTheme="minorEastAsia" w:hint="eastAsia"/>
                <w:szCs w:val="21"/>
              </w:rPr>
            </w:pPr>
            <w:r w:rsidRPr="00690C50">
              <w:rPr>
                <w:rFonts w:asciiTheme="minorEastAsia" w:hAnsiTheme="minorEastAsia" w:hint="eastAsia"/>
                <w:szCs w:val="21"/>
              </w:rPr>
              <w:t>当标的资产价格上涨超过执行价格，或下跌超过权利金时，产生风险，且随着价格的上涨或下跌，风险不断加大</w:t>
            </w:r>
          </w:p>
        </w:tc>
      </w:tr>
    </w:tbl>
    <w:p w:rsidR="00134538" w:rsidRPr="00FE0702" w:rsidRDefault="00134538" w:rsidP="00134538">
      <w:pPr>
        <w:spacing w:line="560" w:lineRule="exact"/>
        <w:ind w:firstLineChars="200" w:firstLine="480"/>
        <w:rPr>
          <w:rFonts w:ascii="仿宋" w:eastAsia="仿宋" w:hAnsi="仿宋"/>
          <w:sz w:val="24"/>
          <w:szCs w:val="24"/>
        </w:rPr>
      </w:pPr>
      <w:r w:rsidRPr="00FE0702">
        <w:rPr>
          <w:rFonts w:ascii="仿宋" w:eastAsia="仿宋" w:hAnsi="仿宋" w:hint="eastAsia"/>
          <w:sz w:val="24"/>
          <w:szCs w:val="24"/>
        </w:rPr>
        <w:t>下面以郑商所拟推出的白糖期权为例，尝试从收益与风险两个角度对策略进行比较。</w:t>
      </w:r>
    </w:p>
    <w:p w:rsidR="00134538" w:rsidRPr="00FE0702" w:rsidRDefault="00134538" w:rsidP="00134538">
      <w:pPr>
        <w:spacing w:line="560" w:lineRule="exact"/>
        <w:ind w:firstLineChars="200" w:firstLine="480"/>
        <w:rPr>
          <w:rFonts w:ascii="仿宋" w:eastAsia="仿宋" w:hAnsi="仿宋" w:hint="eastAsia"/>
          <w:sz w:val="24"/>
          <w:szCs w:val="24"/>
        </w:rPr>
      </w:pPr>
      <w:r w:rsidRPr="00FE0702">
        <w:rPr>
          <w:rFonts w:ascii="仿宋" w:eastAsia="仿宋" w:hAnsi="仿宋" w:hint="eastAsia"/>
          <w:sz w:val="24"/>
          <w:szCs w:val="24"/>
        </w:rPr>
        <w:t>假设当白糖期货为5000元/吨时，投资者分别构造比率看涨组合和比率卖出看涨组合：</w:t>
      </w:r>
    </w:p>
    <w:p w:rsidR="00134538" w:rsidRPr="00FE0702" w:rsidRDefault="00134538" w:rsidP="00134538">
      <w:pPr>
        <w:spacing w:line="560" w:lineRule="exact"/>
        <w:ind w:firstLineChars="200" w:firstLine="480"/>
        <w:rPr>
          <w:rFonts w:ascii="仿宋" w:eastAsia="仿宋" w:hAnsi="仿宋" w:hint="eastAsia"/>
          <w:sz w:val="24"/>
          <w:szCs w:val="24"/>
        </w:rPr>
      </w:pPr>
      <w:r w:rsidRPr="00FE0702">
        <w:rPr>
          <w:rFonts w:ascii="仿宋" w:eastAsia="仿宋" w:hAnsi="仿宋" w:hint="eastAsia"/>
          <w:sz w:val="24"/>
          <w:szCs w:val="24"/>
        </w:rPr>
        <w:t>比率组合：买入1手一个月后到期，执行价格为5000元/吨的看涨期权，付出权利金143元/吨，同时卖出3手相同到期日，执行价格为5200元/吨的看涨期权，得到权利金68元/吨，构造1∶3比率的比率看涨期权组合。</w:t>
      </w:r>
    </w:p>
    <w:p w:rsidR="00134538" w:rsidRPr="00FE0702" w:rsidRDefault="00134538" w:rsidP="00134538">
      <w:pPr>
        <w:spacing w:line="560" w:lineRule="exact"/>
        <w:ind w:firstLineChars="200" w:firstLine="480"/>
        <w:rPr>
          <w:rFonts w:ascii="仿宋" w:eastAsia="仿宋" w:hAnsi="仿宋" w:hint="eastAsia"/>
          <w:sz w:val="24"/>
          <w:szCs w:val="24"/>
        </w:rPr>
      </w:pPr>
      <w:r w:rsidRPr="00FE0702">
        <w:rPr>
          <w:rFonts w:ascii="仿宋" w:eastAsia="仿宋" w:hAnsi="仿宋" w:hint="eastAsia"/>
          <w:sz w:val="24"/>
          <w:szCs w:val="24"/>
        </w:rPr>
        <w:t>比率卖出组合：买入1手白糖期货，同时卖出3手一个月后到期，执行价格为5200元/吨的看涨期权，得到权利金68元/吨。</w:t>
      </w:r>
    </w:p>
    <w:p w:rsidR="00134538" w:rsidRPr="00134538" w:rsidRDefault="00134538" w:rsidP="00134538">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624512" cy="1947947"/>
            <wp:effectExtent l="19050" t="0" r="4638" b="0"/>
            <wp:docPr id="1" name="图片 1" descr="C:\Users\adi\AppData\Roaming\Tencent\Users\815491681\QQ\WinTemp\RichOle\UR`]PE$SN@SR_0R)}9L4)8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AppData\Roaming\Tencent\Users\815491681\QQ\WinTemp\RichOle\UR`]PE$SN@SR_0R)}9L4)8N.png"/>
                    <pic:cNvPicPr>
                      <a:picLocks noChangeAspect="1" noChangeArrowheads="1"/>
                    </pic:cNvPicPr>
                  </pic:nvPicPr>
                  <pic:blipFill>
                    <a:blip r:embed="rId4"/>
                    <a:srcRect/>
                    <a:stretch>
                      <a:fillRect/>
                    </a:stretch>
                  </pic:blipFill>
                  <pic:spPr bwMode="auto">
                    <a:xfrm>
                      <a:off x="0" y="0"/>
                      <a:ext cx="4628155" cy="1949481"/>
                    </a:xfrm>
                    <a:prstGeom prst="rect">
                      <a:avLst/>
                    </a:prstGeom>
                    <a:noFill/>
                    <a:ln w="9525">
                      <a:noFill/>
                      <a:miter lim="800000"/>
                      <a:headEnd/>
                      <a:tailEnd/>
                    </a:ln>
                  </pic:spPr>
                </pic:pic>
              </a:graphicData>
            </a:graphic>
          </wp:inline>
        </w:drawing>
      </w:r>
    </w:p>
    <w:p w:rsidR="00134538" w:rsidRPr="00134538" w:rsidRDefault="00134538" w:rsidP="00134538">
      <w:pPr>
        <w:spacing w:line="560" w:lineRule="exact"/>
        <w:ind w:firstLineChars="200" w:firstLine="480"/>
        <w:rPr>
          <w:rFonts w:ascii="仿宋" w:eastAsia="仿宋" w:hAnsi="仿宋"/>
          <w:sz w:val="24"/>
          <w:szCs w:val="24"/>
        </w:rPr>
      </w:pPr>
      <w:r w:rsidRPr="00134538">
        <w:rPr>
          <w:rFonts w:ascii="仿宋" w:eastAsia="仿宋" w:hAnsi="仿宋" w:hint="eastAsia"/>
          <w:sz w:val="24"/>
          <w:szCs w:val="24"/>
        </w:rPr>
        <w:t>一是风险比较。从风险分布来看，由上图可知，比率卖出组合在上涨和下跌两个方向潜在风险巨大，而比率组合只存在价格上行风险。就风险大小而言，随着白糖期货价格的上涨，白糖看涨期权delta逐渐上涨至1，价格变化与期货价格变化趋于一致，因此单边上涨行情下，比率组合风险不会高于比率卖出看涨组合的风险。</w:t>
      </w:r>
    </w:p>
    <w:p w:rsidR="00134538" w:rsidRPr="00134538" w:rsidRDefault="00134538" w:rsidP="00134538">
      <w:pPr>
        <w:spacing w:line="560" w:lineRule="exact"/>
        <w:ind w:firstLineChars="200" w:firstLine="480"/>
        <w:rPr>
          <w:rFonts w:ascii="仿宋" w:eastAsia="仿宋" w:hAnsi="仿宋" w:hint="eastAsia"/>
          <w:sz w:val="24"/>
          <w:szCs w:val="24"/>
        </w:rPr>
      </w:pPr>
      <w:r w:rsidRPr="00134538">
        <w:rPr>
          <w:rFonts w:ascii="仿宋" w:eastAsia="仿宋" w:hAnsi="仿宋" w:hint="eastAsia"/>
          <w:sz w:val="24"/>
          <w:szCs w:val="24"/>
        </w:rPr>
        <w:t>二是收益比较。同比率下的比率组合较比率卖出组合风险要小，但这并不意味着比率组合的收益就要较比率卖出组合收益小。就收益分布来看，比率组合在白糖期货价格盘整及下跌中均有收益产生，而比率卖出组合只有在价格盘整时才有收益产生，但就收益大小而言，比率卖出组合收益要大于比率组合，这主要是在盘整行情下，买入期权要耗损大量权利金，而期货则不然。</w:t>
      </w:r>
    </w:p>
    <w:p w:rsidR="00134538" w:rsidRPr="00134538" w:rsidRDefault="00134538" w:rsidP="00134538">
      <w:pPr>
        <w:spacing w:line="560" w:lineRule="exact"/>
        <w:ind w:firstLineChars="200" w:firstLine="480"/>
        <w:rPr>
          <w:rFonts w:ascii="仿宋" w:eastAsia="仿宋" w:hAnsi="仿宋" w:hint="eastAsia"/>
          <w:sz w:val="24"/>
          <w:szCs w:val="24"/>
        </w:rPr>
      </w:pPr>
      <w:r w:rsidRPr="00134538">
        <w:rPr>
          <w:rFonts w:ascii="仿宋" w:eastAsia="仿宋" w:hAnsi="仿宋" w:hint="eastAsia"/>
          <w:sz w:val="24"/>
          <w:szCs w:val="24"/>
        </w:rPr>
        <w:t>总体来看，抛开权利金的高昂成本，比率组合在风险、收益两方面都要优于比率卖出组合。除非无法忍受买入期权的时间价值耗损缺点，否则打算利用比率类策略的投资者应尽量构建比率组合进行投资交易。</w:t>
      </w:r>
    </w:p>
    <w:p w:rsidR="00DD21A5" w:rsidRPr="00134538" w:rsidRDefault="00DD21A5" w:rsidP="00134538">
      <w:pPr>
        <w:rPr>
          <w:rFonts w:hint="eastAsia"/>
        </w:rPr>
      </w:pPr>
    </w:p>
    <w:p w:rsidR="00FC39CA" w:rsidRPr="00134538" w:rsidRDefault="00FC39CA" w:rsidP="00134538"/>
    <w:sectPr w:rsidR="00FC39CA" w:rsidRPr="001345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1AD"/>
    <w:rsid w:val="00134538"/>
    <w:rsid w:val="00407D62"/>
    <w:rsid w:val="00534595"/>
    <w:rsid w:val="006441AD"/>
    <w:rsid w:val="00690C50"/>
    <w:rsid w:val="00AB3003"/>
    <w:rsid w:val="00CA643C"/>
    <w:rsid w:val="00DD21A5"/>
    <w:rsid w:val="00FC39CA"/>
    <w:rsid w:val="00FE0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1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13453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34538"/>
    <w:rPr>
      <w:sz w:val="18"/>
      <w:szCs w:val="18"/>
    </w:rPr>
  </w:style>
  <w:style w:type="character" w:customStyle="1" w:styleId="Char">
    <w:name w:val="批注框文本 Char"/>
    <w:basedOn w:val="a0"/>
    <w:link w:val="a5"/>
    <w:uiPriority w:val="99"/>
    <w:semiHidden/>
    <w:rsid w:val="00134538"/>
    <w:rPr>
      <w:sz w:val="18"/>
      <w:szCs w:val="18"/>
    </w:rPr>
  </w:style>
</w:styles>
</file>

<file path=word/webSettings.xml><?xml version="1.0" encoding="utf-8"?>
<w:webSettings xmlns:r="http://schemas.openxmlformats.org/officeDocument/2006/relationships" xmlns:w="http://schemas.openxmlformats.org/wordprocessingml/2006/main">
  <w:divs>
    <w:div w:id="974606637">
      <w:bodyDiv w:val="1"/>
      <w:marLeft w:val="0"/>
      <w:marRight w:val="0"/>
      <w:marTop w:val="0"/>
      <w:marBottom w:val="0"/>
      <w:divBdr>
        <w:top w:val="none" w:sz="0" w:space="0" w:color="auto"/>
        <w:left w:val="none" w:sz="0" w:space="0" w:color="auto"/>
        <w:bottom w:val="none" w:sz="0" w:space="0" w:color="auto"/>
        <w:right w:val="none" w:sz="0" w:space="0" w:color="auto"/>
      </w:divBdr>
    </w:div>
    <w:div w:id="1853496693">
      <w:bodyDiv w:val="1"/>
      <w:marLeft w:val="0"/>
      <w:marRight w:val="0"/>
      <w:marTop w:val="0"/>
      <w:marBottom w:val="0"/>
      <w:divBdr>
        <w:top w:val="none" w:sz="0" w:space="0" w:color="auto"/>
        <w:left w:val="none" w:sz="0" w:space="0" w:color="auto"/>
        <w:bottom w:val="none" w:sz="0" w:space="0" w:color="auto"/>
        <w:right w:val="none" w:sz="0" w:space="0" w:color="auto"/>
      </w:divBdr>
    </w:div>
    <w:div w:id="1870215127">
      <w:bodyDiv w:val="1"/>
      <w:marLeft w:val="0"/>
      <w:marRight w:val="0"/>
      <w:marTop w:val="0"/>
      <w:marBottom w:val="0"/>
      <w:divBdr>
        <w:top w:val="none" w:sz="0" w:space="0" w:color="auto"/>
        <w:left w:val="none" w:sz="0" w:space="0" w:color="auto"/>
        <w:bottom w:val="none" w:sz="0" w:space="0" w:color="auto"/>
        <w:right w:val="none" w:sz="0" w:space="0" w:color="auto"/>
      </w:divBdr>
      <w:divsChild>
        <w:div w:id="151495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161</Words>
  <Characters>919</Characters>
  <Application>Microsoft Office Word</Application>
  <DocSecurity>0</DocSecurity>
  <Lines>7</Lines>
  <Paragraphs>2</Paragraphs>
  <ScaleCrop>false</ScaleCrop>
  <Company>Hewlett-Packard Company</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9</cp:revision>
  <dcterms:created xsi:type="dcterms:W3CDTF">2016-04-13T07:36:00Z</dcterms:created>
  <dcterms:modified xsi:type="dcterms:W3CDTF">2016-04-13T08:22:00Z</dcterms:modified>
</cp:coreProperties>
</file>