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202D" w:rsidP="002E202D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2E202D">
        <w:rPr>
          <w:rFonts w:asciiTheme="majorEastAsia" w:eastAsiaTheme="majorEastAsia" w:hAnsiTheme="majorEastAsia" w:hint="eastAsia"/>
          <w:b/>
          <w:sz w:val="28"/>
          <w:szCs w:val="28"/>
        </w:rPr>
        <w:t>期权基础交易策略集锦（中）</w:t>
      </w:r>
    </w:p>
    <w:p w:rsidR="002E202D" w:rsidRDefault="002E202D" w:rsidP="002E202D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2E202D">
        <w:rPr>
          <w:rFonts w:asciiTheme="majorEastAsia" w:eastAsiaTheme="majorEastAsia" w:hAnsiTheme="majorEastAsia" w:hint="eastAsia"/>
          <w:sz w:val="24"/>
          <w:szCs w:val="24"/>
        </w:rPr>
        <w:t>在上篇中，我们介绍了</w:t>
      </w:r>
      <w:r>
        <w:rPr>
          <w:rFonts w:asciiTheme="majorEastAsia" w:eastAsiaTheme="majorEastAsia" w:hAnsiTheme="majorEastAsia" w:hint="eastAsia"/>
          <w:sz w:val="24"/>
          <w:szCs w:val="24"/>
        </w:rPr>
        <w:t>牛市策略，本篇，我们将为大家介绍期权交易策略之熊市策略。</w:t>
      </w:r>
    </w:p>
    <w:p w:rsidR="002E202D" w:rsidRPr="00D27A02" w:rsidRDefault="002E202D" w:rsidP="002E202D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7A02">
        <w:rPr>
          <w:rFonts w:asciiTheme="majorEastAsia" w:eastAsiaTheme="majorEastAsia" w:hAnsiTheme="majorEastAsia" w:hint="eastAsia"/>
          <w:sz w:val="24"/>
          <w:szCs w:val="24"/>
        </w:rPr>
        <w:t>卖出看涨期权</w:t>
      </w:r>
      <w:r>
        <w:rPr>
          <w:noProof/>
          <w:kern w:val="0"/>
        </w:rPr>
        <w:drawing>
          <wp:inline distT="0" distB="0" distL="0" distR="0">
            <wp:extent cx="4612005" cy="2703195"/>
            <wp:effectExtent l="19050" t="0" r="0" b="0"/>
            <wp:docPr id="1" name="图片 1" descr="C:\Users\adi\AppData\Roaming\Tencent\Users\815491681\QQ\WinTemp\RichOle\}GOA9%SC$RZM7JE{3{0Y]C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\AppData\Roaming\Tencent\Users\815491681\QQ\WinTemp\RichOle\}GOA9%SC$RZM7JE{3{0Y]C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270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02D" w:rsidRDefault="002E202D" w:rsidP="002E202D">
      <w:pPr>
        <w:pStyle w:val="a3"/>
        <w:ind w:left="360" w:firstLineChars="0" w:firstLine="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理想时机：预期后市价格会下跌</w:t>
      </w:r>
    </w:p>
    <w:p w:rsidR="002E202D" w:rsidRDefault="002E202D" w:rsidP="002E202D">
      <w:pPr>
        <w:pStyle w:val="a3"/>
        <w:ind w:left="360" w:firstLineChars="0" w:firstLine="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策略构成：卖出一个看涨期权</w:t>
      </w:r>
    </w:p>
    <w:p w:rsidR="002E202D" w:rsidRDefault="002E202D" w:rsidP="002E202D">
      <w:pPr>
        <w:pStyle w:val="a3"/>
        <w:ind w:left="360" w:firstLineChars="0" w:firstLine="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最大损失：当市场上涨时风险无限</w:t>
      </w:r>
    </w:p>
    <w:p w:rsidR="002E202D" w:rsidRDefault="002E202D" w:rsidP="002E202D">
      <w:pPr>
        <w:pStyle w:val="a3"/>
        <w:ind w:left="360" w:firstLineChars="0" w:firstLine="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最大收益：权利金</w:t>
      </w:r>
    </w:p>
    <w:p w:rsidR="007571B5" w:rsidRDefault="007571B5" w:rsidP="002E202D">
      <w:pPr>
        <w:pStyle w:val="a3"/>
        <w:ind w:left="360" w:firstLineChars="0" w:firstLine="0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7571B5" w:rsidRPr="00D27A02" w:rsidRDefault="007571B5" w:rsidP="007571B5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7A02">
        <w:rPr>
          <w:rFonts w:asciiTheme="majorEastAsia" w:eastAsiaTheme="majorEastAsia" w:hAnsiTheme="majorEastAsia" w:hint="eastAsia"/>
          <w:sz w:val="24"/>
          <w:szCs w:val="24"/>
        </w:rPr>
        <w:t>买入看跌期权</w:t>
      </w:r>
      <w:r>
        <w:rPr>
          <w:noProof/>
          <w:kern w:val="0"/>
        </w:rPr>
        <w:drawing>
          <wp:inline distT="0" distB="0" distL="0" distR="0">
            <wp:extent cx="4492625" cy="2632075"/>
            <wp:effectExtent l="19050" t="0" r="3175" b="0"/>
            <wp:docPr id="3" name="图片 3" descr="C:\Users\adi\AppData\Roaming\Tencent\Users\815491681\QQ\WinTemp\RichOle\H96KF]YF%]B4C_$8DG~[2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i\AppData\Roaming\Tencent\Users\815491681\QQ\WinTemp\RichOle\H96KF]YF%]B4C_$8DG~[23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263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1B5" w:rsidRDefault="007571B5" w:rsidP="007571B5">
      <w:pPr>
        <w:pStyle w:val="a3"/>
        <w:ind w:leftChars="171" w:left="1439" w:hangingChars="450" w:hanging="108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理想时机：预期后市价格会下跌。与做空标的资产一样可以从市场下跌中获利，但风险有限。</w:t>
      </w:r>
    </w:p>
    <w:p w:rsidR="007571B5" w:rsidRDefault="007571B5" w:rsidP="007571B5">
      <w:pPr>
        <w:pStyle w:val="a3"/>
        <w:ind w:left="360" w:firstLineChars="0" w:firstLine="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策略构成：买入看跌期权</w:t>
      </w:r>
    </w:p>
    <w:p w:rsidR="007571B5" w:rsidRDefault="007571B5" w:rsidP="007571B5">
      <w:pPr>
        <w:pStyle w:val="a3"/>
        <w:ind w:left="360" w:firstLineChars="0" w:firstLine="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最大损失：权利金</w:t>
      </w:r>
    </w:p>
    <w:p w:rsidR="007571B5" w:rsidRDefault="007571B5" w:rsidP="007571B5">
      <w:pPr>
        <w:pStyle w:val="a3"/>
        <w:ind w:left="360" w:firstLineChars="0" w:firstLine="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最大收益：当市场下跌时收益无限</w:t>
      </w:r>
    </w:p>
    <w:p w:rsidR="007571B5" w:rsidRDefault="00587F29" w:rsidP="00587F29">
      <w:pPr>
        <w:pStyle w:val="a3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合成卖空策略</w:t>
      </w:r>
    </w:p>
    <w:p w:rsidR="00587F29" w:rsidRPr="00587F29" w:rsidRDefault="00587F29" w:rsidP="00587F2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4500245" cy="2456815"/>
            <wp:effectExtent l="19050" t="0" r="0" b="0"/>
            <wp:docPr id="5" name="图片 5" descr="C:\Users\adi\AppData\Roaming\Tencent\Users\815491681\QQ\WinTemp\RichOle\)34LKS7MDNK9CC]$$]C_P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i\AppData\Roaming\Tencent\Users\815491681\QQ\WinTemp\RichOle\)34LKS7MDNK9CC]$$]C_PN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45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F29" w:rsidRDefault="00587F29" w:rsidP="00587F29">
      <w:pPr>
        <w:pStyle w:val="a3"/>
        <w:ind w:leftChars="171" w:left="1439" w:hangingChars="450" w:hanging="108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理想时机：预期后市价格会下跌。</w:t>
      </w:r>
    </w:p>
    <w:p w:rsidR="00587F29" w:rsidRDefault="00587F29" w:rsidP="00587F29">
      <w:pPr>
        <w:pStyle w:val="a3"/>
        <w:ind w:left="360" w:firstLineChars="0" w:firstLine="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策略构成：卖出一个看涨期权的同时买入行权价格相同的看跌期权</w:t>
      </w:r>
    </w:p>
    <w:p w:rsidR="00587F29" w:rsidRDefault="00587F29" w:rsidP="00587F29">
      <w:pPr>
        <w:pStyle w:val="a3"/>
        <w:ind w:left="360" w:firstLineChars="0" w:firstLine="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最大损失：无限</w:t>
      </w:r>
    </w:p>
    <w:p w:rsidR="00587F29" w:rsidRDefault="00587F29" w:rsidP="00587F29">
      <w:pPr>
        <w:pStyle w:val="a3"/>
        <w:ind w:left="360" w:firstLineChars="0" w:firstLine="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最大收益：无限</w:t>
      </w:r>
    </w:p>
    <w:p w:rsidR="00A21D7C" w:rsidRDefault="00A21D7C" w:rsidP="00587F29">
      <w:pPr>
        <w:pStyle w:val="a3"/>
        <w:ind w:left="360" w:firstLineChars="0" w:firstLine="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合成卖空期权策略与买入合成期权策略（也称为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合成做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多期权策略）是正好相反的操作，其损益特征与做空标的资产是完全一样的。</w:t>
      </w:r>
    </w:p>
    <w:p w:rsidR="00D27A02" w:rsidRDefault="00D27A02" w:rsidP="00587F29">
      <w:pPr>
        <w:pStyle w:val="a3"/>
        <w:ind w:left="360" w:firstLineChars="0" w:firstLine="0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D27A02" w:rsidRDefault="00D27A02" w:rsidP="00D27A02">
      <w:pPr>
        <w:pStyle w:val="a3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反向比率认沽期权价差策略</w:t>
      </w:r>
    </w:p>
    <w:p w:rsidR="00D27A02" w:rsidRPr="00D27A02" w:rsidRDefault="00D27A02" w:rsidP="00D27A02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699000" cy="2663825"/>
            <wp:effectExtent l="19050" t="0" r="6350" b="0"/>
            <wp:docPr id="7" name="图片 7" descr="C:\Users\adi\AppData\Roaming\Tencent\Users\815491681\QQ\WinTemp\RichOle\S)0`2T}TYIHZL($RWBII7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i\AppData\Roaming\Tencent\Users\815491681\QQ\WinTemp\RichOle\S)0`2T}TYIHZL($RWBII7IL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02" w:rsidRDefault="00D27A02" w:rsidP="00D27A02">
      <w:pPr>
        <w:pStyle w:val="a3"/>
        <w:ind w:leftChars="171" w:left="1559" w:hangingChars="500" w:hanging="120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理想时机：对市场价格持中性偏熊市观念，但对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波动率持牛市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观点，预期市场波动率将加大。</w:t>
      </w:r>
    </w:p>
    <w:p w:rsidR="00D27A02" w:rsidRDefault="00D27A02" w:rsidP="00D27A02">
      <w:pPr>
        <w:pStyle w:val="a3"/>
        <w:ind w:left="360" w:firstLineChars="0" w:firstLine="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策略构成：卖出一个看涨期权的同时买入行权价格相同的看跌期权</w:t>
      </w:r>
    </w:p>
    <w:p w:rsidR="00D27A02" w:rsidRDefault="00D27A02" w:rsidP="00D27A02">
      <w:pPr>
        <w:pStyle w:val="a3"/>
        <w:ind w:left="360" w:firstLineChars="0" w:firstLine="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最大损失：无限</w:t>
      </w:r>
    </w:p>
    <w:p w:rsidR="00D27A02" w:rsidRDefault="00D27A02" w:rsidP="00D27A02">
      <w:pPr>
        <w:pStyle w:val="a3"/>
        <w:ind w:left="360" w:firstLineChars="0" w:firstLine="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最大收益：无限</w:t>
      </w:r>
    </w:p>
    <w:p w:rsidR="00D27A02" w:rsidRPr="00D27A02" w:rsidRDefault="00D27A02" w:rsidP="00D27A02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587F29" w:rsidRDefault="00587F29" w:rsidP="00587F29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9F69E5" w:rsidRDefault="009F69E5" w:rsidP="00587F29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9F69E5" w:rsidRPr="009F69E5" w:rsidRDefault="009F69E5" w:rsidP="009F69E5">
      <w:pPr>
        <w:pStyle w:val="a3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9F69E5">
        <w:rPr>
          <w:rFonts w:asciiTheme="majorEastAsia" w:eastAsiaTheme="majorEastAsia" w:hAnsiTheme="majorEastAsia" w:hint="eastAsia"/>
          <w:sz w:val="24"/>
          <w:szCs w:val="24"/>
        </w:rPr>
        <w:lastRenderedPageBreak/>
        <w:t>熊市认购期权价差策略</w:t>
      </w:r>
    </w:p>
    <w:p w:rsidR="009F69E5" w:rsidRPr="009F69E5" w:rsidRDefault="009F69E5" w:rsidP="009F69E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4627880" cy="2695575"/>
            <wp:effectExtent l="19050" t="0" r="1270" b="0"/>
            <wp:docPr id="11" name="图片 11" descr="C:\Users\adi\AppData\Roaming\Tencent\Users\815491681\QQ\WinTemp\RichOle\M8E_%`V(NT2LKW]N8U@$CM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i\AppData\Roaming\Tencent\Users\815491681\QQ\WinTemp\RichOle\M8E_%`V(NT2LKW]N8U@$CM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8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9E5" w:rsidRDefault="009F69E5" w:rsidP="009F69E5">
      <w:pPr>
        <w:pStyle w:val="a3"/>
        <w:ind w:leftChars="171" w:left="1559" w:hangingChars="500" w:hanging="120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理想时机：预计后市价格下跌，但下跌幅度不会太大 </w:t>
      </w:r>
    </w:p>
    <w:p w:rsidR="009F69E5" w:rsidRDefault="009F69E5" w:rsidP="009F69E5">
      <w:pPr>
        <w:pStyle w:val="a3"/>
        <w:ind w:leftChars="171" w:left="1559" w:hangingChars="500" w:hanging="120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策略构成：卖出一个低行权价的认购期权的同时，买入一个高行权价的认购期权</w:t>
      </w:r>
    </w:p>
    <w:p w:rsidR="009F69E5" w:rsidRDefault="009F69E5" w:rsidP="009F69E5">
      <w:pPr>
        <w:pStyle w:val="a3"/>
        <w:ind w:left="360" w:firstLineChars="0" w:firstLine="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最大损失：两行权价格价差-权利金净额</w:t>
      </w:r>
    </w:p>
    <w:p w:rsidR="009F69E5" w:rsidRDefault="009F69E5" w:rsidP="009F69E5">
      <w:pPr>
        <w:pStyle w:val="a3"/>
        <w:ind w:left="360" w:firstLineChars="0" w:firstLine="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最大收益：权利金净额</w:t>
      </w:r>
    </w:p>
    <w:p w:rsidR="00A80F7A" w:rsidRDefault="00A80F7A" w:rsidP="009F69E5">
      <w:pPr>
        <w:pStyle w:val="a3"/>
        <w:ind w:left="360" w:firstLineChars="0" w:firstLine="0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A80F7A" w:rsidRDefault="00A80F7A" w:rsidP="00A80F7A">
      <w:pPr>
        <w:pStyle w:val="a3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熊市认沽期权价差策略</w:t>
      </w:r>
    </w:p>
    <w:p w:rsidR="00A80F7A" w:rsidRPr="00A80F7A" w:rsidRDefault="00A80F7A" w:rsidP="00A80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4563745" cy="2679700"/>
            <wp:effectExtent l="19050" t="0" r="8255" b="0"/>
            <wp:docPr id="13" name="图片 13" descr="C:\Users\adi\AppData\Roaming\Tencent\Users\815491681\QQ\WinTemp\RichOle\`76W1$U1JR[6LUCRP]UVD{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i\AppData\Roaming\Tencent\Users\815491681\QQ\WinTemp\RichOle\`76W1$U1JR[6LUCRP]UVD{N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F7A" w:rsidRDefault="00A80F7A" w:rsidP="00A80F7A">
      <w:pPr>
        <w:pStyle w:val="a3"/>
        <w:ind w:leftChars="171" w:left="1559" w:hangingChars="500" w:hanging="120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理想时机：预计后市价格下跌，但下跌幅度不会太大。 </w:t>
      </w:r>
    </w:p>
    <w:p w:rsidR="00A80F7A" w:rsidRDefault="00A80F7A" w:rsidP="00A80F7A">
      <w:pPr>
        <w:pStyle w:val="a3"/>
        <w:ind w:leftChars="171" w:left="1559" w:hangingChars="500" w:hanging="120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策略构成：卖出一个低行权价的认沽期权的同时，买入一个高行权价的认沽期权 </w:t>
      </w:r>
    </w:p>
    <w:p w:rsidR="00A80F7A" w:rsidRDefault="00A80F7A" w:rsidP="00A80F7A">
      <w:pPr>
        <w:pStyle w:val="a3"/>
        <w:ind w:left="360" w:firstLineChars="0" w:firstLine="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最大损失：权利金净额</w:t>
      </w:r>
    </w:p>
    <w:p w:rsidR="00A80F7A" w:rsidRDefault="00A80F7A" w:rsidP="00A80F7A">
      <w:pPr>
        <w:pStyle w:val="a3"/>
        <w:ind w:left="360" w:firstLineChars="0" w:firstLine="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最大收益：两行权价格价差-权利金净额</w:t>
      </w:r>
    </w:p>
    <w:p w:rsidR="00A80F7A" w:rsidRPr="000A0489" w:rsidRDefault="00A80F7A" w:rsidP="000A0489">
      <w:pPr>
        <w:pStyle w:val="a3"/>
        <w:ind w:left="360" w:firstLineChars="0" w:firstLine="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A80F7A">
        <w:rPr>
          <w:rFonts w:asciiTheme="majorEastAsia" w:eastAsiaTheme="majorEastAsia" w:hAnsiTheme="majorEastAsia" w:hint="eastAsia"/>
          <w:sz w:val="24"/>
          <w:szCs w:val="24"/>
        </w:rPr>
        <w:t>熊市认购期权价差策略</w:t>
      </w:r>
      <w:r>
        <w:rPr>
          <w:rFonts w:asciiTheme="majorEastAsia" w:eastAsiaTheme="majorEastAsia" w:hAnsiTheme="majorEastAsia" w:hint="eastAsia"/>
          <w:sz w:val="24"/>
          <w:szCs w:val="24"/>
        </w:rPr>
        <w:t>与熊市认沽期权价差策略具有相同的收益特征，可以比较两个策略的构建成本选择合适的价差策略。</w:t>
      </w:r>
    </w:p>
    <w:p w:rsidR="009F69E5" w:rsidRPr="009F69E5" w:rsidRDefault="009F69E5" w:rsidP="009F69E5">
      <w:pPr>
        <w:pStyle w:val="a3"/>
        <w:ind w:left="360" w:firstLineChars="0" w:firstLine="0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sectPr w:rsidR="009F69E5" w:rsidRPr="009F6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E17EF"/>
    <w:multiLevelType w:val="hybridMultilevel"/>
    <w:tmpl w:val="2542C19C"/>
    <w:lvl w:ilvl="0" w:tplc="20C6D5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202D"/>
    <w:rsid w:val="000A0489"/>
    <w:rsid w:val="002E202D"/>
    <w:rsid w:val="00587F29"/>
    <w:rsid w:val="007571B5"/>
    <w:rsid w:val="009F69E5"/>
    <w:rsid w:val="00A21D7C"/>
    <w:rsid w:val="00A80F7A"/>
    <w:rsid w:val="00D2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02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E202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E20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105</Words>
  <Characters>605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9</cp:revision>
  <dcterms:created xsi:type="dcterms:W3CDTF">2016-03-03T01:10:00Z</dcterms:created>
  <dcterms:modified xsi:type="dcterms:W3CDTF">2016-03-03T01:51:00Z</dcterms:modified>
</cp:coreProperties>
</file>