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889" w:rsidRDefault="001114CB" w:rsidP="000C5B06">
      <w:pPr>
        <w:jc w:val="center"/>
        <w:rPr>
          <w:b/>
          <w:sz w:val="30"/>
          <w:szCs w:val="30"/>
        </w:rPr>
      </w:pPr>
      <w:r>
        <w:rPr>
          <w:rFonts w:hint="eastAsia"/>
          <w:b/>
          <w:sz w:val="30"/>
          <w:szCs w:val="30"/>
        </w:rPr>
        <w:t>比率期权组合的构建</w:t>
      </w:r>
    </w:p>
    <w:p w:rsidR="000C5B06" w:rsidRDefault="000C5B06" w:rsidP="00AB459B">
      <w:pPr>
        <w:ind w:firstLineChars="200" w:firstLine="560"/>
        <w:jc w:val="left"/>
        <w:rPr>
          <w:rFonts w:ascii="仿宋" w:eastAsia="仿宋" w:hAnsi="仿宋"/>
          <w:sz w:val="28"/>
          <w:szCs w:val="28"/>
        </w:rPr>
      </w:pPr>
      <w:r>
        <w:rPr>
          <w:rFonts w:ascii="仿宋" w:eastAsia="仿宋" w:hAnsi="仿宋" w:hint="eastAsia"/>
          <w:sz w:val="28"/>
          <w:szCs w:val="28"/>
        </w:rPr>
        <w:t>作为一种常见的期权投资策略，比率期权策略与单腿期权策略不同，它本身涉及买入和卖出两类期权头寸，在价格、波动率、时间价值方面自然形成对冲。在行情不利的情况下，比率期权策略有多种风险管理方法应对，是一类适应性较强的投资交易策略。</w:t>
      </w:r>
    </w:p>
    <w:p w:rsidR="004A37D3" w:rsidRPr="004A37D3" w:rsidRDefault="004A37D3" w:rsidP="00AB459B">
      <w:pPr>
        <w:ind w:firstLineChars="200" w:firstLine="562"/>
        <w:jc w:val="left"/>
        <w:rPr>
          <w:rFonts w:ascii="仿宋" w:eastAsia="仿宋" w:hAnsi="仿宋"/>
          <w:b/>
          <w:sz w:val="28"/>
          <w:szCs w:val="28"/>
        </w:rPr>
      </w:pPr>
      <w:r w:rsidRPr="004A37D3">
        <w:rPr>
          <w:rFonts w:ascii="仿宋" w:eastAsia="仿宋" w:hAnsi="仿宋" w:hint="eastAsia"/>
          <w:b/>
          <w:sz w:val="28"/>
          <w:szCs w:val="28"/>
        </w:rPr>
        <w:t>比率期权组合的构造</w:t>
      </w:r>
    </w:p>
    <w:p w:rsidR="004A37D3" w:rsidRDefault="004A37D3" w:rsidP="00AB459B">
      <w:pPr>
        <w:ind w:firstLineChars="200" w:firstLine="560"/>
        <w:jc w:val="left"/>
        <w:rPr>
          <w:rFonts w:ascii="仿宋" w:eastAsia="仿宋" w:hAnsi="仿宋"/>
          <w:sz w:val="28"/>
          <w:szCs w:val="28"/>
        </w:rPr>
      </w:pPr>
      <w:r>
        <w:rPr>
          <w:rFonts w:ascii="仿宋" w:eastAsia="仿宋" w:hAnsi="仿宋" w:hint="eastAsia"/>
          <w:sz w:val="28"/>
          <w:szCs w:val="28"/>
        </w:rPr>
        <w:t>比率期权组合是指买入M手看涨（跌）期权，同时卖出N手相同到期日、更高行权价格的看涨（跌）期权的组合交易策略。</w:t>
      </w:r>
      <w:r w:rsidR="003A7FA0">
        <w:rPr>
          <w:rFonts w:ascii="仿宋" w:eastAsia="仿宋" w:hAnsi="仿宋" w:hint="eastAsia"/>
          <w:sz w:val="28"/>
          <w:szCs w:val="28"/>
        </w:rPr>
        <w:t>一般来说，多空配比原则为使组合整体构造成本大于等于零，即卖出N手期权所得权利金大于等于买入M手期权所付出的权利金。该原则在有效保证标的资产价格向下（上）运行时，比率看涨（跌）期权没有任何风险，只需要防范上（下）行风险，大大简化操作难度。但由于涉及</w:t>
      </w:r>
      <w:proofErr w:type="gramStart"/>
      <w:r w:rsidR="003A7FA0">
        <w:rPr>
          <w:rFonts w:ascii="仿宋" w:eastAsia="仿宋" w:hAnsi="仿宋" w:hint="eastAsia"/>
          <w:sz w:val="28"/>
          <w:szCs w:val="28"/>
        </w:rPr>
        <w:t>裸</w:t>
      </w:r>
      <w:proofErr w:type="gramEnd"/>
      <w:r w:rsidR="003A7FA0">
        <w:rPr>
          <w:rFonts w:ascii="仿宋" w:eastAsia="仿宋" w:hAnsi="仿宋" w:hint="eastAsia"/>
          <w:sz w:val="28"/>
          <w:szCs w:val="28"/>
        </w:rPr>
        <w:t>卖空期权，多空比率最好不要低于1:3，比率过小说明组合中裸期权空头数量多</w:t>
      </w:r>
      <w:r w:rsidR="00264225">
        <w:rPr>
          <w:rFonts w:ascii="仿宋" w:eastAsia="仿宋" w:hAnsi="仿宋" w:hint="eastAsia"/>
          <w:sz w:val="28"/>
          <w:szCs w:val="28"/>
        </w:rPr>
        <w:t>，潜在风险较高。</w:t>
      </w:r>
    </w:p>
    <w:p w:rsidR="00973097" w:rsidRDefault="00973097" w:rsidP="00AB459B">
      <w:pPr>
        <w:ind w:firstLineChars="200" w:firstLine="560"/>
        <w:jc w:val="left"/>
        <w:rPr>
          <w:rFonts w:ascii="仿宋" w:eastAsia="仿宋" w:hAnsi="仿宋"/>
          <w:sz w:val="28"/>
          <w:szCs w:val="28"/>
        </w:rPr>
      </w:pPr>
      <w:r>
        <w:rPr>
          <w:rFonts w:ascii="仿宋" w:eastAsia="仿宋" w:hAnsi="仿宋" w:hint="eastAsia"/>
          <w:sz w:val="28"/>
          <w:szCs w:val="28"/>
        </w:rPr>
        <w:t>下面以看涨期权为例，说明比率期权组合的构造方式。例如，假设当豆</w:t>
      </w:r>
      <w:proofErr w:type="gramStart"/>
      <w:r>
        <w:rPr>
          <w:rFonts w:ascii="仿宋" w:eastAsia="仿宋" w:hAnsi="仿宋" w:hint="eastAsia"/>
          <w:sz w:val="28"/>
          <w:szCs w:val="28"/>
        </w:rPr>
        <w:t>粕</w:t>
      </w:r>
      <w:proofErr w:type="gramEnd"/>
      <w:r>
        <w:rPr>
          <w:rFonts w:ascii="仿宋" w:eastAsia="仿宋" w:hAnsi="仿宋" w:hint="eastAsia"/>
          <w:sz w:val="28"/>
          <w:szCs w:val="28"/>
        </w:rPr>
        <w:t>期货价格为2735元/吨时，以其为标的物，1个月后到期的、执行价格为2735元/吨的看涨期权的权利金为78元/吨，而相同到期日、执行价格为2835元/吨的看涨期权的权利金为39元/吨。显然，卖出两手执行价格为2835元/吨的看涨期权获得的权利金，正好弥补买入1手执行价格为2735元/吨的看涨期权的权利金成本。因此，该比率期权组合中买卖头寸比率可设置为1:2，这就使得当标的期货价格下</w:t>
      </w:r>
      <w:r w:rsidR="00D75E11">
        <w:rPr>
          <w:rFonts w:ascii="仿宋" w:eastAsia="仿宋" w:hAnsi="仿宋" w:hint="eastAsia"/>
          <w:sz w:val="28"/>
          <w:szCs w:val="28"/>
        </w:rPr>
        <w:t xml:space="preserve"> </w:t>
      </w:r>
      <w:r>
        <w:rPr>
          <w:rFonts w:ascii="仿宋" w:eastAsia="仿宋" w:hAnsi="仿宋" w:hint="eastAsia"/>
          <w:sz w:val="28"/>
          <w:szCs w:val="28"/>
        </w:rPr>
        <w:t>跌时，期权组合盈亏平衡，风险集中在价格方向上行。</w:t>
      </w:r>
    </w:p>
    <w:p w:rsidR="002A77A7" w:rsidRDefault="002A77A7" w:rsidP="00AB459B">
      <w:pPr>
        <w:ind w:firstLineChars="200" w:firstLine="562"/>
        <w:jc w:val="left"/>
        <w:rPr>
          <w:rFonts w:ascii="仿宋" w:eastAsia="仿宋" w:hAnsi="仿宋"/>
          <w:b/>
          <w:sz w:val="28"/>
          <w:szCs w:val="28"/>
        </w:rPr>
      </w:pPr>
      <w:r w:rsidRPr="002A77A7">
        <w:rPr>
          <w:rFonts w:ascii="仿宋" w:eastAsia="仿宋" w:hAnsi="仿宋" w:hint="eastAsia"/>
          <w:b/>
          <w:sz w:val="28"/>
          <w:szCs w:val="28"/>
        </w:rPr>
        <w:lastRenderedPageBreak/>
        <w:t>比率看涨期权组合的特征分析</w:t>
      </w:r>
    </w:p>
    <w:p w:rsidR="002A77A7" w:rsidRDefault="002A77A7" w:rsidP="00AB459B">
      <w:pPr>
        <w:ind w:firstLineChars="200" w:firstLine="560"/>
        <w:jc w:val="left"/>
        <w:rPr>
          <w:rFonts w:ascii="仿宋" w:eastAsia="仿宋" w:hAnsi="仿宋"/>
          <w:sz w:val="28"/>
          <w:szCs w:val="28"/>
        </w:rPr>
      </w:pPr>
      <w:r w:rsidRPr="002A77A7">
        <w:rPr>
          <w:rFonts w:ascii="仿宋" w:eastAsia="仿宋" w:hAnsi="仿宋" w:hint="eastAsia"/>
          <w:sz w:val="28"/>
          <w:szCs w:val="28"/>
        </w:rPr>
        <w:t>前面一直强调比率看涨期权组合涉及</w:t>
      </w:r>
      <w:proofErr w:type="gramStart"/>
      <w:r w:rsidRPr="002A77A7">
        <w:rPr>
          <w:rFonts w:ascii="仿宋" w:eastAsia="仿宋" w:hAnsi="仿宋" w:hint="eastAsia"/>
          <w:sz w:val="28"/>
          <w:szCs w:val="28"/>
        </w:rPr>
        <w:t>裸</w:t>
      </w:r>
      <w:proofErr w:type="gramEnd"/>
      <w:r w:rsidRPr="002A77A7">
        <w:rPr>
          <w:rFonts w:ascii="仿宋" w:eastAsia="仿宋" w:hAnsi="仿宋" w:hint="eastAsia"/>
          <w:sz w:val="28"/>
          <w:szCs w:val="28"/>
        </w:rPr>
        <w:t>卖空期权，从构造方式上看，比率看涨期权组合可拆分为牛市看涨垂直套利和</w:t>
      </w:r>
      <w:proofErr w:type="gramStart"/>
      <w:r w:rsidRPr="002A77A7">
        <w:rPr>
          <w:rFonts w:ascii="仿宋" w:eastAsia="仿宋" w:hAnsi="仿宋" w:hint="eastAsia"/>
          <w:sz w:val="28"/>
          <w:szCs w:val="28"/>
        </w:rPr>
        <w:t>裸卖空</w:t>
      </w:r>
      <w:proofErr w:type="gramEnd"/>
      <w:r w:rsidRPr="002A77A7">
        <w:rPr>
          <w:rFonts w:ascii="仿宋" w:eastAsia="仿宋" w:hAnsi="仿宋" w:hint="eastAsia"/>
          <w:sz w:val="28"/>
          <w:szCs w:val="28"/>
        </w:rPr>
        <w:t>期权两个组合；从损益结构上看，比率期权策略与裸卖空期权也有几分相似之处，那么该策略与裸卖空期权到底有什么区别呢？下面以表格形式从构造原理和到期损益两个层面对这两个策略进行对比。</w:t>
      </w:r>
    </w:p>
    <w:tbl>
      <w:tblPr>
        <w:tblStyle w:val="a3"/>
        <w:tblW w:w="0" w:type="auto"/>
        <w:tblLook w:val="04A0"/>
      </w:tblPr>
      <w:tblGrid>
        <w:gridCol w:w="1384"/>
        <w:gridCol w:w="4297"/>
        <w:gridCol w:w="2841"/>
      </w:tblGrid>
      <w:tr w:rsidR="002A77A7" w:rsidTr="002A77A7">
        <w:tc>
          <w:tcPr>
            <w:tcW w:w="1384" w:type="dxa"/>
          </w:tcPr>
          <w:p w:rsidR="002A77A7" w:rsidRDefault="002A77A7" w:rsidP="000C5B06">
            <w:pPr>
              <w:jc w:val="left"/>
              <w:rPr>
                <w:rFonts w:ascii="仿宋" w:eastAsia="仿宋" w:hAnsi="仿宋"/>
                <w:sz w:val="28"/>
                <w:szCs w:val="28"/>
              </w:rPr>
            </w:pPr>
          </w:p>
        </w:tc>
        <w:tc>
          <w:tcPr>
            <w:tcW w:w="4297" w:type="dxa"/>
          </w:tcPr>
          <w:p w:rsidR="002A77A7" w:rsidRDefault="002A77A7" w:rsidP="000C5B06">
            <w:pPr>
              <w:jc w:val="left"/>
              <w:rPr>
                <w:rFonts w:ascii="仿宋" w:eastAsia="仿宋" w:hAnsi="仿宋"/>
                <w:sz w:val="28"/>
                <w:szCs w:val="28"/>
              </w:rPr>
            </w:pPr>
            <w:r>
              <w:rPr>
                <w:rFonts w:ascii="仿宋" w:eastAsia="仿宋" w:hAnsi="仿宋" w:hint="eastAsia"/>
                <w:sz w:val="28"/>
                <w:szCs w:val="28"/>
              </w:rPr>
              <w:t>比率看涨期权组合</w:t>
            </w:r>
          </w:p>
        </w:tc>
        <w:tc>
          <w:tcPr>
            <w:tcW w:w="2841" w:type="dxa"/>
          </w:tcPr>
          <w:p w:rsidR="002A77A7" w:rsidRDefault="002A77A7" w:rsidP="000C5B06">
            <w:pPr>
              <w:jc w:val="left"/>
              <w:rPr>
                <w:rFonts w:ascii="仿宋" w:eastAsia="仿宋" w:hAnsi="仿宋"/>
                <w:sz w:val="28"/>
                <w:szCs w:val="28"/>
              </w:rPr>
            </w:pPr>
            <w:proofErr w:type="gramStart"/>
            <w:r>
              <w:rPr>
                <w:rFonts w:ascii="仿宋" w:eastAsia="仿宋" w:hAnsi="仿宋" w:hint="eastAsia"/>
                <w:sz w:val="28"/>
                <w:szCs w:val="28"/>
              </w:rPr>
              <w:t>裸</w:t>
            </w:r>
            <w:proofErr w:type="gramEnd"/>
            <w:r>
              <w:rPr>
                <w:rFonts w:ascii="仿宋" w:eastAsia="仿宋" w:hAnsi="仿宋" w:hint="eastAsia"/>
                <w:sz w:val="28"/>
                <w:szCs w:val="28"/>
              </w:rPr>
              <w:t>卖空看涨期权</w:t>
            </w:r>
          </w:p>
        </w:tc>
      </w:tr>
      <w:tr w:rsidR="002A77A7" w:rsidTr="002A77A7">
        <w:tc>
          <w:tcPr>
            <w:tcW w:w="1384" w:type="dxa"/>
          </w:tcPr>
          <w:p w:rsidR="002A77A7" w:rsidRDefault="002A77A7" w:rsidP="000C5B06">
            <w:pPr>
              <w:jc w:val="left"/>
              <w:rPr>
                <w:rFonts w:ascii="仿宋" w:eastAsia="仿宋" w:hAnsi="仿宋"/>
                <w:sz w:val="28"/>
                <w:szCs w:val="28"/>
              </w:rPr>
            </w:pPr>
            <w:r>
              <w:rPr>
                <w:rFonts w:ascii="仿宋" w:eastAsia="仿宋" w:hAnsi="仿宋" w:hint="eastAsia"/>
                <w:sz w:val="28"/>
                <w:szCs w:val="28"/>
              </w:rPr>
              <w:t>构造原理</w:t>
            </w:r>
          </w:p>
        </w:tc>
        <w:tc>
          <w:tcPr>
            <w:tcW w:w="4297" w:type="dxa"/>
          </w:tcPr>
          <w:p w:rsidR="002A77A7" w:rsidRDefault="002A77A7" w:rsidP="000C5B06">
            <w:pPr>
              <w:jc w:val="left"/>
              <w:rPr>
                <w:rFonts w:ascii="仿宋" w:eastAsia="仿宋" w:hAnsi="仿宋"/>
                <w:sz w:val="28"/>
                <w:szCs w:val="28"/>
              </w:rPr>
            </w:pPr>
            <w:r>
              <w:rPr>
                <w:rFonts w:ascii="仿宋" w:eastAsia="仿宋" w:hAnsi="仿宋" w:hint="eastAsia"/>
                <w:sz w:val="28"/>
                <w:szCs w:val="28"/>
              </w:rPr>
              <w:t>预期标的价格温和上涨，于是买入看涨期权，并卖出更多的行权价更高的看涨期权弥补购入成本</w:t>
            </w:r>
          </w:p>
        </w:tc>
        <w:tc>
          <w:tcPr>
            <w:tcW w:w="2841" w:type="dxa"/>
          </w:tcPr>
          <w:p w:rsidR="002A77A7" w:rsidRDefault="002A77A7" w:rsidP="000C5B06">
            <w:pPr>
              <w:jc w:val="left"/>
              <w:rPr>
                <w:rFonts w:ascii="仿宋" w:eastAsia="仿宋" w:hAnsi="仿宋"/>
                <w:sz w:val="28"/>
                <w:szCs w:val="28"/>
              </w:rPr>
            </w:pPr>
            <w:r>
              <w:rPr>
                <w:rFonts w:ascii="仿宋" w:eastAsia="仿宋" w:hAnsi="仿宋" w:hint="eastAsia"/>
                <w:sz w:val="28"/>
                <w:szCs w:val="28"/>
              </w:rPr>
              <w:t>预期标的价格下跌或上涨不超过某一价位，于是卖出看涨期权赚取权利金</w:t>
            </w:r>
          </w:p>
        </w:tc>
      </w:tr>
      <w:tr w:rsidR="002A77A7" w:rsidTr="002A77A7">
        <w:tc>
          <w:tcPr>
            <w:tcW w:w="1384" w:type="dxa"/>
          </w:tcPr>
          <w:p w:rsidR="002A77A7" w:rsidRDefault="002A77A7" w:rsidP="000C5B06">
            <w:pPr>
              <w:jc w:val="left"/>
              <w:rPr>
                <w:rFonts w:ascii="仿宋" w:eastAsia="仿宋" w:hAnsi="仿宋"/>
                <w:sz w:val="28"/>
                <w:szCs w:val="28"/>
              </w:rPr>
            </w:pPr>
            <w:r>
              <w:rPr>
                <w:rFonts w:ascii="仿宋" w:eastAsia="仿宋" w:hAnsi="仿宋" w:hint="eastAsia"/>
                <w:sz w:val="28"/>
                <w:szCs w:val="28"/>
              </w:rPr>
              <w:t>到期损益状况</w:t>
            </w:r>
          </w:p>
        </w:tc>
        <w:tc>
          <w:tcPr>
            <w:tcW w:w="4297" w:type="dxa"/>
          </w:tcPr>
          <w:p w:rsidR="002A77A7" w:rsidRDefault="002A77A7" w:rsidP="000C5B06">
            <w:pPr>
              <w:jc w:val="left"/>
              <w:rPr>
                <w:rFonts w:ascii="仿宋" w:eastAsia="仿宋" w:hAnsi="仿宋"/>
                <w:sz w:val="28"/>
                <w:szCs w:val="28"/>
              </w:rPr>
            </w:pPr>
            <w:r>
              <w:rPr>
                <w:rFonts w:ascii="仿宋" w:eastAsia="仿宋" w:hAnsi="仿宋" w:hint="eastAsia"/>
                <w:sz w:val="28"/>
                <w:szCs w:val="28"/>
              </w:rPr>
              <w:t>随着标的价格上涨，收益达到峰值</w:t>
            </w:r>
          </w:p>
        </w:tc>
        <w:tc>
          <w:tcPr>
            <w:tcW w:w="2841" w:type="dxa"/>
          </w:tcPr>
          <w:p w:rsidR="002A77A7" w:rsidRDefault="002A77A7" w:rsidP="000C5B06">
            <w:pPr>
              <w:jc w:val="left"/>
              <w:rPr>
                <w:rFonts w:ascii="仿宋" w:eastAsia="仿宋" w:hAnsi="仿宋"/>
                <w:sz w:val="28"/>
                <w:szCs w:val="28"/>
              </w:rPr>
            </w:pPr>
          </w:p>
        </w:tc>
      </w:tr>
    </w:tbl>
    <w:p w:rsidR="002A77A7" w:rsidRPr="001114CB" w:rsidRDefault="001114CB" w:rsidP="001E4A89">
      <w:pPr>
        <w:ind w:firstLineChars="200" w:firstLine="560"/>
        <w:jc w:val="left"/>
        <w:rPr>
          <w:rFonts w:ascii="仿宋" w:eastAsia="仿宋" w:hAnsi="仿宋"/>
          <w:sz w:val="28"/>
          <w:szCs w:val="28"/>
        </w:rPr>
      </w:pPr>
      <w:r w:rsidRPr="001114CB">
        <w:rPr>
          <w:rFonts w:ascii="仿宋" w:eastAsia="仿宋" w:hAnsi="仿宋" w:hint="eastAsia"/>
          <w:color w:val="000000"/>
          <w:sz w:val="28"/>
          <w:szCs w:val="28"/>
        </w:rPr>
        <w:t>由表可知，两者差异本质上源于对行情的预期有别，而且比率看涨期权组合在风险管理灵活性方面更胜一筹。</w:t>
      </w:r>
    </w:p>
    <w:sectPr w:rsidR="002A77A7" w:rsidRPr="001114CB" w:rsidSect="00C418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5B06"/>
    <w:rsid w:val="000C5B06"/>
    <w:rsid w:val="001114CB"/>
    <w:rsid w:val="001E4A89"/>
    <w:rsid w:val="00264225"/>
    <w:rsid w:val="002A77A7"/>
    <w:rsid w:val="003A7FA0"/>
    <w:rsid w:val="003D6CB8"/>
    <w:rsid w:val="004A37D3"/>
    <w:rsid w:val="00973097"/>
    <w:rsid w:val="00AB459B"/>
    <w:rsid w:val="00C41889"/>
    <w:rsid w:val="00D262E1"/>
    <w:rsid w:val="00D75E11"/>
    <w:rsid w:val="00E776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8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77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2</Pages>
  <Words>140</Words>
  <Characters>798</Characters>
  <Application>Microsoft Office Word</Application>
  <DocSecurity>0</DocSecurity>
  <Lines>6</Lines>
  <Paragraphs>1</Paragraphs>
  <ScaleCrop>false</ScaleCrop>
  <Company>Hewlett-Packard Company</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16</cp:revision>
  <dcterms:created xsi:type="dcterms:W3CDTF">2016-01-28T01:13:00Z</dcterms:created>
  <dcterms:modified xsi:type="dcterms:W3CDTF">2016-02-23T05:34:00Z</dcterms:modified>
</cp:coreProperties>
</file>