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 w:hint="eastAsia"/>
          <w:sz w:val="24"/>
          <w:szCs w:val="24"/>
        </w:rPr>
        <w:t>期权卖方心法第九条  备兑开仓不简单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/>
          <w:sz w:val="24"/>
          <w:szCs w:val="24"/>
        </w:rPr>
        <w:t>投资者经常有这样的困扰：长期看好并持有一只股票，但最近这只股票不温不火，有时有点小涨，有时干脆一动不动。有没有一种办法，可以在持有股票时适当增加收入或者降低持有成本？答案是：有！这就是备兑开仓，即在持有股票时，卖出相应数量的认购期权。美国的BXM基金是</w:t>
      </w:r>
      <w:proofErr w:type="gramStart"/>
      <w:r w:rsidRPr="00D07297">
        <w:rPr>
          <w:rFonts w:ascii="仿宋" w:eastAsia="仿宋" w:hAnsi="仿宋"/>
          <w:sz w:val="24"/>
          <w:szCs w:val="24"/>
        </w:rPr>
        <w:t>基于标普</w:t>
      </w:r>
      <w:proofErr w:type="gramEnd"/>
      <w:r w:rsidRPr="00D07297">
        <w:rPr>
          <w:rFonts w:ascii="仿宋" w:eastAsia="仿宋" w:hAnsi="仿宋"/>
          <w:sz w:val="24"/>
          <w:szCs w:val="24"/>
        </w:rPr>
        <w:t>500的备兑开仓策略创建的。过去二十年，BXM相对</w:t>
      </w:r>
      <w:proofErr w:type="gramStart"/>
      <w:r w:rsidRPr="00D07297">
        <w:rPr>
          <w:rFonts w:ascii="仿宋" w:eastAsia="仿宋" w:hAnsi="仿宋"/>
          <w:sz w:val="24"/>
          <w:szCs w:val="24"/>
        </w:rPr>
        <w:t>于标普</w:t>
      </w:r>
      <w:proofErr w:type="gramEnd"/>
      <w:r w:rsidRPr="00D07297">
        <w:rPr>
          <w:rFonts w:ascii="仿宋" w:eastAsia="仿宋" w:hAnsi="仿宋"/>
          <w:sz w:val="24"/>
          <w:szCs w:val="24"/>
        </w:rPr>
        <w:t>500，在风险更小的情况下，产生了更高的收益率（年收益率9.4%），这是所有策略交易者梦寐以求的。可以说，备兑开仓逻辑简单但效果不简单！当然备兑开仓也存在被行权、股价大幅下跌等风险，投资者应适时进行转仓或平仓。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 w:hint="eastAsia"/>
          <w:sz w:val="24"/>
          <w:szCs w:val="24"/>
        </w:rPr>
        <w:t>期权卖方心法第十条  分散风险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/>
          <w:sz w:val="24"/>
          <w:szCs w:val="24"/>
        </w:rPr>
        <w:t>在美国期权市场，约有四分之三的期权在到期时是没有价值的，这意味着期权卖方的胜率远大于买方。乍眼一看，卖出期权似乎是条赚钱的捷径，然而一旦市场发生大的波动，总有期权卖方出现爆仓。期权卖方的这一风险特点与出售保险非常相似，大多数的保单每年更新而没有出险，但一次重大灾害就可能使保险行业遭遇相当大的损失。因此，大部分保险公司会将风险分散到不同的区域和保险产品。类似地，期权卖方也应卖出不同股票的期权，以实现分散风险的目的，避免因单个股票的不利行情而全军覆没。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/>
          <w:sz w:val="24"/>
          <w:szCs w:val="24"/>
        </w:rPr>
        <w:t>卖方心法第十一条 活用担保物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/>
          <w:sz w:val="24"/>
          <w:szCs w:val="24"/>
        </w:rPr>
        <w:t>期权卖出开仓时，需要交纳保证金。保证金可以是现金，也可以是债券、股票等有价证券。卖方应尽量使用有价证券冲抵保证金。与使用现金相比，使用国债、货币基金等作为担保物，在收取期权权利金的同时，可以额外得到2%-5%的收益，何乐而不为呢！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D07297">
        <w:rPr>
          <w:rFonts w:ascii="仿宋" w:eastAsia="仿宋" w:hAnsi="仿宋"/>
          <w:sz w:val="24"/>
          <w:szCs w:val="24"/>
        </w:rPr>
        <w:t>卖方心法第十二条 盯市、盯市、</w:t>
      </w:r>
      <w:proofErr w:type="gramStart"/>
      <w:r w:rsidRPr="00D07297">
        <w:rPr>
          <w:rFonts w:ascii="仿宋" w:eastAsia="仿宋" w:hAnsi="仿宋"/>
          <w:sz w:val="24"/>
          <w:szCs w:val="24"/>
        </w:rPr>
        <w:t>再盯市</w:t>
      </w:r>
      <w:proofErr w:type="gramEnd"/>
      <w:r w:rsidRPr="00D07297">
        <w:rPr>
          <w:rFonts w:ascii="仿宋" w:eastAsia="仿宋" w:hAnsi="仿宋"/>
          <w:sz w:val="24"/>
          <w:szCs w:val="24"/>
        </w:rPr>
        <w:t>！</w:t>
      </w:r>
    </w:p>
    <w:p w:rsidR="00D07297" w:rsidRPr="00D07297" w:rsidRDefault="00D07297" w:rsidP="00D07297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D07297">
        <w:rPr>
          <w:rFonts w:ascii="仿宋" w:eastAsia="仿宋" w:hAnsi="仿宋"/>
          <w:sz w:val="24"/>
          <w:szCs w:val="24"/>
        </w:rPr>
        <w:t>卖出期权风险较高，卖方必须紧盯市场走势，留意市场冲击。此外，期权卖</w:t>
      </w:r>
      <w:r w:rsidRPr="00D07297">
        <w:rPr>
          <w:rFonts w:ascii="仿宋" w:eastAsia="仿宋" w:hAnsi="仿宋"/>
          <w:sz w:val="24"/>
          <w:szCs w:val="24"/>
        </w:rPr>
        <w:lastRenderedPageBreak/>
        <w:t>方应该时刻关注自己账户中的保证金情况，并且密切关注相关股票的除权除息、配股和分红等情况，提前做好补足保证金的准备。</w:t>
      </w:r>
    </w:p>
    <w:sectPr w:rsidR="00D07297" w:rsidRPr="00D0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297"/>
    <w:rsid w:val="00D0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72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2016-02-23T05:23:00Z</dcterms:created>
  <dcterms:modified xsi:type="dcterms:W3CDTF">2016-02-23T05:27:00Z</dcterms:modified>
</cp:coreProperties>
</file>