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27CBD" w:rsidRDefault="003635F4" w:rsidP="00E27CBD">
      <w:pPr>
        <w:spacing w:line="560" w:lineRule="exact"/>
        <w:ind w:firstLineChars="200" w:firstLine="480"/>
        <w:rPr>
          <w:rFonts w:ascii="仿宋" w:eastAsia="仿宋" w:hAnsi="仿宋" w:hint="eastAsia"/>
          <w:sz w:val="24"/>
          <w:szCs w:val="24"/>
        </w:rPr>
      </w:pPr>
      <w:r w:rsidRPr="00E27CBD">
        <w:rPr>
          <w:rFonts w:ascii="仿宋" w:eastAsia="仿宋" w:hAnsi="仿宋" w:hint="eastAsia"/>
          <w:sz w:val="24"/>
          <w:szCs w:val="24"/>
        </w:rPr>
        <w:t>卖方心法第一条  止损第一</w:t>
      </w:r>
    </w:p>
    <w:p w:rsidR="003635F4" w:rsidRPr="00E27CBD" w:rsidRDefault="003635F4" w:rsidP="00E27CBD">
      <w:pPr>
        <w:spacing w:line="560" w:lineRule="exact"/>
        <w:ind w:firstLineChars="200" w:firstLine="480"/>
        <w:rPr>
          <w:rFonts w:ascii="仿宋" w:eastAsia="仿宋" w:hAnsi="仿宋" w:hint="eastAsia"/>
          <w:sz w:val="24"/>
          <w:szCs w:val="24"/>
        </w:rPr>
      </w:pPr>
      <w:r w:rsidRPr="00E27CBD">
        <w:rPr>
          <w:rFonts w:ascii="仿宋" w:eastAsia="仿宋" w:hAnsi="仿宋" w:hint="eastAsia"/>
          <w:sz w:val="24"/>
          <w:szCs w:val="24"/>
        </w:rPr>
        <w:t>期权卖方的收益有限但损失无限，因此，止损是卖方最有效的风险控制手段，</w:t>
      </w:r>
      <w:r w:rsidRPr="00E27CBD">
        <w:rPr>
          <w:rFonts w:ascii="仿宋" w:eastAsia="仿宋" w:hAnsi="仿宋"/>
          <w:sz w:val="24"/>
          <w:szCs w:val="24"/>
        </w:rPr>
        <w:t>也是卖方盈利的前提。卖方的成功有别于买方，不争在一朝一夕，而需要长存于市场。止损的方法有很多，比如固定价位止损、技术指标止损、心理价位止损、基于资金管理上的固定资金比率止损等。</w:t>
      </w:r>
    </w:p>
    <w:p w:rsidR="003635F4" w:rsidRPr="00E27CBD" w:rsidRDefault="003635F4" w:rsidP="00E27CBD">
      <w:pPr>
        <w:spacing w:line="560" w:lineRule="exact"/>
        <w:ind w:firstLineChars="200" w:firstLine="480"/>
        <w:rPr>
          <w:rFonts w:ascii="仿宋" w:eastAsia="仿宋" w:hAnsi="仿宋"/>
          <w:sz w:val="24"/>
          <w:szCs w:val="24"/>
        </w:rPr>
      </w:pPr>
      <w:r w:rsidRPr="00E27CBD">
        <w:rPr>
          <w:rFonts w:ascii="仿宋" w:eastAsia="仿宋" w:hAnsi="仿宋"/>
          <w:sz w:val="24"/>
          <w:szCs w:val="24"/>
        </w:rPr>
        <w:t>卖方心法第二条 限仓第二</w:t>
      </w:r>
    </w:p>
    <w:p w:rsidR="003635F4" w:rsidRPr="00E27CBD" w:rsidRDefault="003635F4" w:rsidP="00E27CBD">
      <w:pPr>
        <w:spacing w:line="560" w:lineRule="exact"/>
        <w:ind w:firstLineChars="200" w:firstLine="480"/>
        <w:rPr>
          <w:rFonts w:ascii="仿宋" w:eastAsia="仿宋" w:hAnsi="仿宋" w:hint="eastAsia"/>
          <w:sz w:val="24"/>
          <w:szCs w:val="24"/>
        </w:rPr>
      </w:pPr>
      <w:r w:rsidRPr="00E27CBD">
        <w:rPr>
          <w:rFonts w:ascii="仿宋" w:eastAsia="仿宋" w:hAnsi="仿宋"/>
          <w:sz w:val="24"/>
          <w:szCs w:val="24"/>
        </w:rPr>
        <w:t>成为期权卖方，</w:t>
      </w:r>
      <w:proofErr w:type="gramStart"/>
      <w:r w:rsidRPr="00E27CBD">
        <w:rPr>
          <w:rFonts w:ascii="仿宋" w:eastAsia="仿宋" w:hAnsi="仿宋"/>
          <w:sz w:val="24"/>
          <w:szCs w:val="24"/>
        </w:rPr>
        <w:t>仓位</w:t>
      </w:r>
      <w:proofErr w:type="gramEnd"/>
      <w:r w:rsidRPr="00E27CBD">
        <w:rPr>
          <w:rFonts w:ascii="仿宋" w:eastAsia="仿宋" w:hAnsi="仿宋"/>
          <w:sz w:val="24"/>
          <w:szCs w:val="24"/>
        </w:rPr>
        <w:t>控制是必修的一课，因为卖出开仓需要缴纳足额保证金，一旦满仓操作，即使大方向看对了，也可能因市场临时波动导致保证金不足而被强行平仓，不像股票那样可以等到地老天荒。对卖方而言，强行平仓意味着永久性失去被平</w:t>
      </w:r>
      <w:proofErr w:type="gramStart"/>
      <w:r w:rsidRPr="00E27CBD">
        <w:rPr>
          <w:rFonts w:ascii="仿宋" w:eastAsia="仿宋" w:hAnsi="仿宋"/>
          <w:sz w:val="24"/>
          <w:szCs w:val="24"/>
        </w:rPr>
        <w:t>仓位</w:t>
      </w:r>
      <w:proofErr w:type="gramEnd"/>
      <w:r w:rsidRPr="00E27CBD">
        <w:rPr>
          <w:rFonts w:ascii="仿宋" w:eastAsia="仿宋" w:hAnsi="仿宋"/>
          <w:sz w:val="24"/>
          <w:szCs w:val="24"/>
        </w:rPr>
        <w:t>的获利机会。因此，卖方始终要把保障资金安全作为投资的核心纪律，切不可满仓操作。</w:t>
      </w:r>
    </w:p>
    <w:p w:rsidR="003635F4" w:rsidRPr="00E27CBD" w:rsidRDefault="003635F4" w:rsidP="00E27CBD">
      <w:pPr>
        <w:spacing w:line="560" w:lineRule="exact"/>
        <w:ind w:firstLineChars="200" w:firstLine="480"/>
        <w:rPr>
          <w:rFonts w:ascii="仿宋" w:eastAsia="仿宋" w:hAnsi="仿宋" w:hint="eastAsia"/>
          <w:sz w:val="24"/>
          <w:szCs w:val="24"/>
        </w:rPr>
      </w:pPr>
      <w:r w:rsidRPr="00E27CBD">
        <w:rPr>
          <w:rFonts w:ascii="仿宋" w:eastAsia="仿宋" w:hAnsi="仿宋" w:hint="eastAsia"/>
          <w:sz w:val="24"/>
          <w:szCs w:val="24"/>
        </w:rPr>
        <w:t>卖方心法第三条  顺势而为</w:t>
      </w:r>
    </w:p>
    <w:p w:rsidR="003635F4" w:rsidRPr="00E27CBD" w:rsidRDefault="003635F4" w:rsidP="00E27CBD">
      <w:pPr>
        <w:spacing w:line="560" w:lineRule="exact"/>
        <w:ind w:firstLineChars="200" w:firstLine="480"/>
        <w:rPr>
          <w:rFonts w:ascii="仿宋" w:eastAsia="仿宋" w:hAnsi="仿宋" w:hint="eastAsia"/>
          <w:sz w:val="24"/>
          <w:szCs w:val="24"/>
        </w:rPr>
      </w:pPr>
      <w:r w:rsidRPr="00E27CBD">
        <w:rPr>
          <w:rFonts w:ascii="仿宋" w:eastAsia="仿宋" w:hAnsi="仿宋"/>
          <w:sz w:val="24"/>
          <w:szCs w:val="24"/>
        </w:rPr>
        <w:t>作为期权的义务方，期权卖方的风险理论上是无限的。因此，在缺乏有效风险对冲的情况下，判断市场方向对于期权卖方至关重要。华尔街有一句至理名言：趋势是你的朋友，谨记不</w:t>
      </w:r>
      <w:proofErr w:type="gramStart"/>
      <w:r w:rsidRPr="00E27CBD">
        <w:rPr>
          <w:rFonts w:ascii="仿宋" w:eastAsia="仿宋" w:hAnsi="仿宋"/>
          <w:sz w:val="24"/>
          <w:szCs w:val="24"/>
        </w:rPr>
        <w:t>可逆市</w:t>
      </w:r>
      <w:proofErr w:type="gramEnd"/>
      <w:r w:rsidRPr="00E27CBD">
        <w:rPr>
          <w:rFonts w:ascii="仿宋" w:eastAsia="仿宋" w:hAnsi="仿宋"/>
          <w:sz w:val="24"/>
          <w:szCs w:val="24"/>
        </w:rPr>
        <w:t>而行。对于期权卖方而言，所谓顺势而为就是</w:t>
      </w:r>
      <w:proofErr w:type="gramStart"/>
      <w:r w:rsidRPr="00E27CBD">
        <w:rPr>
          <w:rFonts w:ascii="仿宋" w:eastAsia="仿宋" w:hAnsi="仿宋"/>
          <w:sz w:val="24"/>
          <w:szCs w:val="24"/>
        </w:rPr>
        <w:t>熊市卖</w:t>
      </w:r>
      <w:proofErr w:type="gramEnd"/>
      <w:r w:rsidRPr="00E27CBD">
        <w:rPr>
          <w:rFonts w:ascii="仿宋" w:eastAsia="仿宋" w:hAnsi="仿宋"/>
          <w:sz w:val="24"/>
          <w:szCs w:val="24"/>
        </w:rPr>
        <w:t>认购，</w:t>
      </w:r>
      <w:proofErr w:type="gramStart"/>
      <w:r w:rsidRPr="00E27CBD">
        <w:rPr>
          <w:rFonts w:ascii="仿宋" w:eastAsia="仿宋" w:hAnsi="仿宋"/>
          <w:sz w:val="24"/>
          <w:szCs w:val="24"/>
        </w:rPr>
        <w:t>牛市卖认</w:t>
      </w:r>
      <w:proofErr w:type="gramEnd"/>
      <w:r w:rsidRPr="00E27CBD">
        <w:rPr>
          <w:rFonts w:ascii="仿宋" w:eastAsia="仿宋" w:hAnsi="仿宋"/>
          <w:sz w:val="24"/>
          <w:szCs w:val="24"/>
        </w:rPr>
        <w:t>沽。这条要诀虽然不言自明，但真正能做到的人并不多。要捕捉市场或单只股票的趋势，可以借助基本面分析、技术分析等方法。这些方法都有一定的效果，但绝对不是“万应灵药”。</w:t>
      </w:r>
    </w:p>
    <w:p w:rsidR="003635F4" w:rsidRPr="00E27CBD" w:rsidRDefault="003635F4" w:rsidP="00E27CBD">
      <w:pPr>
        <w:spacing w:line="560" w:lineRule="exact"/>
        <w:ind w:firstLineChars="200" w:firstLine="480"/>
        <w:rPr>
          <w:rFonts w:ascii="仿宋" w:eastAsia="仿宋" w:hAnsi="仿宋" w:hint="eastAsia"/>
          <w:sz w:val="24"/>
          <w:szCs w:val="24"/>
        </w:rPr>
      </w:pPr>
      <w:r w:rsidRPr="00E27CBD">
        <w:rPr>
          <w:rFonts w:ascii="仿宋" w:eastAsia="仿宋" w:hAnsi="仿宋" w:hint="eastAsia"/>
          <w:sz w:val="24"/>
          <w:szCs w:val="24"/>
        </w:rPr>
        <w:t>卖方心法第四条  波动率是敌人</w:t>
      </w:r>
    </w:p>
    <w:p w:rsidR="003635F4" w:rsidRPr="00E27CBD" w:rsidRDefault="003635F4" w:rsidP="00E27CBD">
      <w:pPr>
        <w:spacing w:line="560" w:lineRule="exact"/>
        <w:ind w:firstLineChars="200" w:firstLine="480"/>
        <w:rPr>
          <w:rFonts w:ascii="仿宋" w:eastAsia="仿宋" w:hAnsi="仿宋" w:hint="eastAsia"/>
          <w:sz w:val="24"/>
          <w:szCs w:val="24"/>
        </w:rPr>
      </w:pPr>
      <w:r w:rsidRPr="00E27CBD">
        <w:rPr>
          <w:rFonts w:ascii="仿宋" w:eastAsia="仿宋" w:hAnsi="仿宋"/>
          <w:sz w:val="24"/>
          <w:szCs w:val="24"/>
        </w:rPr>
        <w:t>无论是期权买方还是卖方，波动率都是需要</w:t>
      </w:r>
      <w:proofErr w:type="gramStart"/>
      <w:r w:rsidRPr="00E27CBD">
        <w:rPr>
          <w:rFonts w:ascii="仿宋" w:eastAsia="仿宋" w:hAnsi="仿宋"/>
          <w:sz w:val="24"/>
          <w:szCs w:val="24"/>
        </w:rPr>
        <w:t>研</w:t>
      </w:r>
      <w:proofErr w:type="gramEnd"/>
      <w:r w:rsidRPr="00E27CBD">
        <w:rPr>
          <w:rFonts w:ascii="仿宋" w:eastAsia="仿宋" w:hAnsi="仿宋"/>
          <w:sz w:val="24"/>
          <w:szCs w:val="24"/>
        </w:rPr>
        <w:t>判的重要因素。买方总是追逐高波动性的股票，而卖方却喜欢那些股价波澜不惊的股票。卖方卖出期权后，如果股票波动率变大，期权被行权的概率以及卖方平仓的成本都会增大。遗憾的是，对低波动率的股票，卖方能收取的权利金往往也较低。卖方可以借助期权分析软件找到那些波动率相对较低而权利</w:t>
      </w:r>
      <w:proofErr w:type="gramStart"/>
      <w:r w:rsidRPr="00E27CBD">
        <w:rPr>
          <w:rFonts w:ascii="仿宋" w:eastAsia="仿宋" w:hAnsi="仿宋"/>
          <w:sz w:val="24"/>
          <w:szCs w:val="24"/>
        </w:rPr>
        <w:t>金相对</w:t>
      </w:r>
      <w:proofErr w:type="gramEnd"/>
      <w:r w:rsidRPr="00E27CBD">
        <w:rPr>
          <w:rFonts w:ascii="仿宋" w:eastAsia="仿宋" w:hAnsi="仿宋"/>
          <w:sz w:val="24"/>
          <w:szCs w:val="24"/>
        </w:rPr>
        <w:t>较高的期权。</w:t>
      </w:r>
    </w:p>
    <w:p w:rsidR="003635F4" w:rsidRPr="00E27CBD" w:rsidRDefault="003635F4" w:rsidP="00E27CBD">
      <w:pPr>
        <w:spacing w:line="560" w:lineRule="exact"/>
        <w:ind w:firstLineChars="200" w:firstLine="480"/>
        <w:rPr>
          <w:rFonts w:ascii="仿宋" w:eastAsia="仿宋" w:hAnsi="仿宋"/>
          <w:sz w:val="24"/>
          <w:szCs w:val="24"/>
        </w:rPr>
      </w:pPr>
      <w:r w:rsidRPr="00E27CBD">
        <w:rPr>
          <w:rFonts w:ascii="仿宋" w:eastAsia="仿宋" w:hAnsi="仿宋"/>
          <w:sz w:val="24"/>
          <w:szCs w:val="24"/>
        </w:rPr>
        <w:lastRenderedPageBreak/>
        <w:t>卖方心法第五条 时间是最好的朋友</w:t>
      </w:r>
    </w:p>
    <w:p w:rsidR="00E27CBD" w:rsidRPr="00E27CBD" w:rsidRDefault="00E27CBD" w:rsidP="00E27CBD">
      <w:pPr>
        <w:spacing w:line="560" w:lineRule="exact"/>
        <w:ind w:firstLineChars="200" w:firstLine="480"/>
        <w:rPr>
          <w:rFonts w:ascii="仿宋" w:eastAsia="仿宋" w:hAnsi="仿宋"/>
          <w:sz w:val="24"/>
          <w:szCs w:val="24"/>
        </w:rPr>
      </w:pPr>
      <w:r w:rsidRPr="00E27CBD">
        <w:rPr>
          <w:rFonts w:ascii="仿宋" w:eastAsia="仿宋" w:hAnsi="仿宋"/>
          <w:sz w:val="24"/>
          <w:szCs w:val="24"/>
        </w:rPr>
        <w:t>期权价值包含时间价值，每过一天，卖方就可以赚取一天的时间价值。此外，期权就像“阳光下的冰”一样，其时间价值呈抛物线加速衰减。以一张四个月期限的期权合约为例，头一个月时间价值下跌比较慢，而当邻近到期日时（特别是在最后一个月），其时间价值会加速下跌。相较于其他时间段的期权，三个月内到期的期权的单位时间价值往往较高，也就是说对于想要赚取时间价值的卖方而言，卖出三个月内到期的期权效用是最大的。很多有经验的卖方通过卖出近月的期权合约，同时买入远月的同价期权合约的日历价差策略赚取时间价值收益。</w:t>
      </w:r>
    </w:p>
    <w:p w:rsidR="00E27CBD" w:rsidRPr="00E27CBD" w:rsidRDefault="00E27CBD" w:rsidP="00E27CBD">
      <w:pPr>
        <w:spacing w:line="560" w:lineRule="exact"/>
        <w:ind w:firstLineChars="200" w:firstLine="480"/>
        <w:rPr>
          <w:rFonts w:ascii="仿宋" w:eastAsia="仿宋" w:hAnsi="仿宋"/>
          <w:sz w:val="24"/>
          <w:szCs w:val="24"/>
        </w:rPr>
      </w:pPr>
      <w:r w:rsidRPr="00E27CBD">
        <w:rPr>
          <w:rFonts w:ascii="仿宋" w:eastAsia="仿宋" w:hAnsi="仿宋"/>
          <w:sz w:val="24"/>
          <w:szCs w:val="24"/>
        </w:rPr>
        <w:t>卖方心法第六条 寻找被高估的机会</w:t>
      </w:r>
    </w:p>
    <w:p w:rsidR="00E27CBD" w:rsidRPr="00E27CBD" w:rsidRDefault="00E27CBD" w:rsidP="00E27CBD">
      <w:pPr>
        <w:spacing w:line="560" w:lineRule="exact"/>
        <w:ind w:firstLineChars="200" w:firstLine="480"/>
        <w:rPr>
          <w:rFonts w:ascii="仿宋" w:eastAsia="仿宋" w:hAnsi="仿宋"/>
          <w:sz w:val="24"/>
          <w:szCs w:val="24"/>
        </w:rPr>
      </w:pPr>
      <w:r w:rsidRPr="00E27CBD">
        <w:rPr>
          <w:rFonts w:ascii="仿宋" w:eastAsia="仿宋" w:hAnsi="仿宋"/>
          <w:sz w:val="24"/>
          <w:szCs w:val="24"/>
        </w:rPr>
        <w:t>成功的期权卖方总是敏锐地寻找那些被“高估”的期权。如何找出“高估”的期权？期权定价的核心因素是波动率，一般来说，如果隐含波动率高于历史波动率达到一定程度，或者某</w:t>
      </w:r>
      <w:proofErr w:type="gramStart"/>
      <w:r w:rsidRPr="00E27CBD">
        <w:rPr>
          <w:rFonts w:ascii="仿宋" w:eastAsia="仿宋" w:hAnsi="仿宋"/>
          <w:sz w:val="24"/>
          <w:szCs w:val="24"/>
        </w:rPr>
        <w:t>一行权</w:t>
      </w:r>
      <w:proofErr w:type="gramEnd"/>
      <w:r w:rsidRPr="00E27CBD">
        <w:rPr>
          <w:rFonts w:ascii="仿宋" w:eastAsia="仿宋" w:hAnsi="仿宋"/>
          <w:sz w:val="24"/>
          <w:szCs w:val="24"/>
        </w:rPr>
        <w:t>价的隐含波动率明显超过其他行权价的隐含波动率就可以被认为是过度偏离，也就是这一期权的价格被高估了。波动率的计算虽然复杂，但期权行情系统、相关期权投资网站通常会提供即时的波动</w:t>
      </w:r>
      <w:proofErr w:type="gramStart"/>
      <w:r w:rsidRPr="00E27CBD">
        <w:rPr>
          <w:rFonts w:ascii="仿宋" w:eastAsia="仿宋" w:hAnsi="仿宋"/>
          <w:sz w:val="24"/>
          <w:szCs w:val="24"/>
        </w:rPr>
        <w:t>率数据</w:t>
      </w:r>
      <w:proofErr w:type="gramEnd"/>
      <w:r w:rsidRPr="00E27CBD">
        <w:rPr>
          <w:rFonts w:ascii="仿宋" w:eastAsia="仿宋" w:hAnsi="仿宋"/>
          <w:sz w:val="24"/>
          <w:szCs w:val="24"/>
        </w:rPr>
        <w:t>或期权计算工具供参考。如果期权价格高于根据波动率测算的期权参考理论价值25%以上，这一期权就有可能是被高估了。</w:t>
      </w:r>
    </w:p>
    <w:p w:rsidR="00E27CBD" w:rsidRPr="00E27CBD" w:rsidRDefault="00E27CBD" w:rsidP="00E27CBD">
      <w:pPr>
        <w:spacing w:line="560" w:lineRule="exact"/>
        <w:ind w:firstLineChars="200" w:firstLine="480"/>
        <w:rPr>
          <w:rFonts w:ascii="仿宋" w:eastAsia="仿宋" w:hAnsi="仿宋"/>
          <w:sz w:val="24"/>
          <w:szCs w:val="24"/>
        </w:rPr>
      </w:pPr>
      <w:r w:rsidRPr="00E27CBD">
        <w:rPr>
          <w:rFonts w:ascii="仿宋" w:eastAsia="仿宋" w:hAnsi="仿宋"/>
          <w:sz w:val="24"/>
          <w:szCs w:val="24"/>
        </w:rPr>
        <w:t>卖方心法第七条 多卖</w:t>
      </w:r>
      <w:proofErr w:type="gramStart"/>
      <w:r w:rsidRPr="00E27CBD">
        <w:rPr>
          <w:rFonts w:ascii="仿宋" w:eastAsia="仿宋" w:hAnsi="仿宋"/>
          <w:sz w:val="24"/>
          <w:szCs w:val="24"/>
        </w:rPr>
        <w:t>虚值期权</w:t>
      </w:r>
      <w:proofErr w:type="gramEnd"/>
    </w:p>
    <w:p w:rsidR="00E27CBD" w:rsidRPr="00E27CBD" w:rsidRDefault="00E27CBD" w:rsidP="00E27CBD">
      <w:pPr>
        <w:spacing w:line="560" w:lineRule="exact"/>
        <w:ind w:firstLineChars="200" w:firstLine="480"/>
        <w:rPr>
          <w:rFonts w:ascii="仿宋" w:eastAsia="仿宋" w:hAnsi="仿宋"/>
          <w:sz w:val="24"/>
          <w:szCs w:val="24"/>
        </w:rPr>
      </w:pPr>
      <w:r w:rsidRPr="00E27CBD">
        <w:rPr>
          <w:rFonts w:ascii="仿宋" w:eastAsia="仿宋" w:hAnsi="仿宋"/>
          <w:sz w:val="24"/>
          <w:szCs w:val="24"/>
        </w:rPr>
        <w:t>期权卖方应首选那些没有内在价值、只有时间价值的期权，也就是行权价高于股票市价的认购期权或者行权价低于股票市价的认沽期权。相对于平值或实值期权，</w:t>
      </w:r>
      <w:proofErr w:type="gramStart"/>
      <w:r w:rsidRPr="00E27CBD">
        <w:rPr>
          <w:rFonts w:ascii="仿宋" w:eastAsia="仿宋" w:hAnsi="仿宋"/>
          <w:sz w:val="24"/>
          <w:szCs w:val="24"/>
        </w:rPr>
        <w:t>虚值期权</w:t>
      </w:r>
      <w:proofErr w:type="gramEnd"/>
      <w:r w:rsidRPr="00E27CBD">
        <w:rPr>
          <w:rFonts w:ascii="仿宋" w:eastAsia="仿宋" w:hAnsi="仿宋"/>
          <w:sz w:val="24"/>
          <w:szCs w:val="24"/>
        </w:rPr>
        <w:t>被行权的可能性较低，而这种低概率正是期权卖方的优势所在。美国著名基金HVPW（高</w:t>
      </w:r>
      <w:proofErr w:type="gramStart"/>
      <w:r w:rsidRPr="00E27CBD">
        <w:rPr>
          <w:rFonts w:ascii="仿宋" w:eastAsia="仿宋" w:hAnsi="仿宋"/>
          <w:sz w:val="24"/>
          <w:szCs w:val="24"/>
        </w:rPr>
        <w:t>波动率认沽</w:t>
      </w:r>
      <w:proofErr w:type="gramEnd"/>
      <w:r w:rsidRPr="00E27CBD">
        <w:rPr>
          <w:rFonts w:ascii="仿宋" w:eastAsia="仿宋" w:hAnsi="仿宋"/>
          <w:sz w:val="24"/>
          <w:szCs w:val="24"/>
        </w:rPr>
        <w:t>期权卖出基金）通过滚动卖出剩余期限约60天、行权价偏离市价15%的</w:t>
      </w:r>
      <w:proofErr w:type="gramStart"/>
      <w:r w:rsidRPr="00E27CBD">
        <w:rPr>
          <w:rFonts w:ascii="仿宋" w:eastAsia="仿宋" w:hAnsi="仿宋"/>
          <w:sz w:val="24"/>
          <w:szCs w:val="24"/>
        </w:rPr>
        <w:t>虚值认</w:t>
      </w:r>
      <w:proofErr w:type="gramEnd"/>
      <w:r w:rsidRPr="00E27CBD">
        <w:rPr>
          <w:rFonts w:ascii="仿宋" w:eastAsia="仿宋" w:hAnsi="仿宋"/>
          <w:sz w:val="24"/>
          <w:szCs w:val="24"/>
        </w:rPr>
        <w:t>沽期权，将年收益率维持在9%以上。</w:t>
      </w:r>
    </w:p>
    <w:p w:rsidR="00E27CBD" w:rsidRPr="00E27CBD" w:rsidRDefault="00E27CBD" w:rsidP="00E27CBD">
      <w:pPr>
        <w:spacing w:line="560" w:lineRule="exact"/>
        <w:ind w:firstLineChars="200" w:firstLine="480"/>
        <w:rPr>
          <w:rFonts w:ascii="仿宋" w:eastAsia="仿宋" w:hAnsi="仿宋"/>
          <w:sz w:val="24"/>
          <w:szCs w:val="24"/>
        </w:rPr>
      </w:pPr>
      <w:r w:rsidRPr="00E27CBD">
        <w:rPr>
          <w:rFonts w:ascii="仿宋" w:eastAsia="仿宋" w:hAnsi="仿宋"/>
          <w:sz w:val="24"/>
          <w:szCs w:val="24"/>
        </w:rPr>
        <w:t>卖方心法第八条 买股票</w:t>
      </w:r>
      <w:proofErr w:type="gramStart"/>
      <w:r w:rsidRPr="00E27CBD">
        <w:rPr>
          <w:rFonts w:ascii="仿宋" w:eastAsia="仿宋" w:hAnsi="仿宋"/>
          <w:sz w:val="24"/>
          <w:szCs w:val="24"/>
        </w:rPr>
        <w:t>不如卖认沽</w:t>
      </w:r>
      <w:proofErr w:type="gramEnd"/>
    </w:p>
    <w:p w:rsidR="00E27CBD" w:rsidRPr="00E27CBD" w:rsidRDefault="00E27CBD" w:rsidP="00E27CBD">
      <w:pPr>
        <w:spacing w:line="560" w:lineRule="exact"/>
        <w:ind w:firstLineChars="200" w:firstLine="480"/>
        <w:rPr>
          <w:rFonts w:ascii="仿宋" w:eastAsia="仿宋" w:hAnsi="仿宋"/>
          <w:sz w:val="24"/>
          <w:szCs w:val="24"/>
        </w:rPr>
      </w:pPr>
      <w:r w:rsidRPr="00E27CBD">
        <w:rPr>
          <w:rFonts w:ascii="仿宋" w:eastAsia="仿宋" w:hAnsi="仿宋"/>
          <w:sz w:val="24"/>
          <w:szCs w:val="24"/>
        </w:rPr>
        <w:t>可口可乐是巴菲特最成功的投资之一，巴菲特在其中采用了卖出认沽期权的</w:t>
      </w:r>
      <w:r w:rsidRPr="00E27CBD">
        <w:rPr>
          <w:rFonts w:ascii="仿宋" w:eastAsia="仿宋" w:hAnsi="仿宋"/>
          <w:sz w:val="24"/>
          <w:szCs w:val="24"/>
        </w:rPr>
        <w:lastRenderedPageBreak/>
        <w:t>方法增加投资盈利。对巴菲特而言，本来就有不断增持可口可乐的意愿。若可口可乐不跌，那么权利金就是额外的收益；若是股价下跌，那么权利金相当于市场补贴巴菲特购入可口可乐的成本。因此，对于长期价值投资者而言，通过卖出认沽期权买入股票是降低股票购入成本的投资方法。</w:t>
      </w:r>
    </w:p>
    <w:p w:rsidR="00E27CBD" w:rsidRPr="00E27CBD" w:rsidRDefault="00E27CBD" w:rsidP="00E27CBD">
      <w:pPr>
        <w:spacing w:line="560" w:lineRule="exact"/>
        <w:ind w:firstLineChars="200" w:firstLine="480"/>
        <w:rPr>
          <w:rFonts w:ascii="仿宋" w:eastAsia="仿宋" w:hAnsi="仿宋"/>
          <w:sz w:val="24"/>
          <w:szCs w:val="24"/>
        </w:rPr>
      </w:pPr>
    </w:p>
    <w:sectPr w:rsidR="00E27CBD" w:rsidRPr="00E27CB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0455"/>
    <w:rsid w:val="003635F4"/>
    <w:rsid w:val="007A0455"/>
    <w:rsid w:val="00E27C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35F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35F4"/>
    <w:rPr>
      <w:b/>
      <w:bCs/>
    </w:rPr>
  </w:style>
</w:styles>
</file>

<file path=word/webSettings.xml><?xml version="1.0" encoding="utf-8"?>
<w:webSettings xmlns:r="http://schemas.openxmlformats.org/officeDocument/2006/relationships" xmlns:w="http://schemas.openxmlformats.org/wordprocessingml/2006/main">
  <w:divs>
    <w:div w:id="911235958">
      <w:bodyDiv w:val="1"/>
      <w:marLeft w:val="0"/>
      <w:marRight w:val="0"/>
      <w:marTop w:val="0"/>
      <w:marBottom w:val="0"/>
      <w:divBdr>
        <w:top w:val="none" w:sz="0" w:space="0" w:color="auto"/>
        <w:left w:val="none" w:sz="0" w:space="0" w:color="auto"/>
        <w:bottom w:val="none" w:sz="0" w:space="0" w:color="auto"/>
        <w:right w:val="none" w:sz="0" w:space="0" w:color="auto"/>
      </w:divBdr>
    </w:div>
    <w:div w:id="1193228728">
      <w:bodyDiv w:val="1"/>
      <w:marLeft w:val="0"/>
      <w:marRight w:val="0"/>
      <w:marTop w:val="0"/>
      <w:marBottom w:val="0"/>
      <w:divBdr>
        <w:top w:val="none" w:sz="0" w:space="0" w:color="auto"/>
        <w:left w:val="none" w:sz="0" w:space="0" w:color="auto"/>
        <w:bottom w:val="none" w:sz="0" w:space="0" w:color="auto"/>
        <w:right w:val="none" w:sz="0" w:space="0" w:color="auto"/>
      </w:divBdr>
    </w:div>
    <w:div w:id="15405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233</Words>
  <Characters>1331</Characters>
  <Application>Microsoft Office Word</Application>
  <DocSecurity>0</DocSecurity>
  <Lines>11</Lines>
  <Paragraphs>3</Paragraphs>
  <ScaleCrop>false</ScaleCrop>
  <Company>Hewlett-Packard Company</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2</cp:revision>
  <dcterms:created xsi:type="dcterms:W3CDTF">2016-02-23T03:47:00Z</dcterms:created>
  <dcterms:modified xsi:type="dcterms:W3CDTF">2016-02-23T05:21:00Z</dcterms:modified>
</cp:coreProperties>
</file>